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Анкета участника публичных консультаций с примерным перечнем</w:t>
      </w:r>
    </w:p>
    <w:p w14:paraId="04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вопросов, обсуждаемых при размещении текста проекта нормативного</w:t>
      </w:r>
    </w:p>
    <w:p w14:paraId="05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правового акта К</w:t>
      </w:r>
      <w:r>
        <w:rPr>
          <w:rFonts w:ascii="Times New Roman" w:hAnsi="Times New Roman"/>
          <w:b w:val="0"/>
          <w:sz w:val="28"/>
        </w:rPr>
        <w:t>амчатского края</w:t>
      </w:r>
    </w:p>
    <w:p w14:paraId="06000000">
      <w:pPr>
        <w:spacing w:after="1"/>
        <w:ind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3510"/>
        <w:gridCol w:w="6452"/>
      </w:tblGrid>
      <w:tr>
        <w:tc>
          <w:tcPr>
            <w:tcW w:type="dxa" w:w="9962"/>
            <w:gridSpan w:val="2"/>
            <w:shd w:themeFill="background1" w:themeFillShade="F2" w:val="clear"/>
            <w:tcMar>
              <w:top w:type="dxa" w:w="28"/>
              <w:bottom w:type="dxa" w:w="28"/>
            </w:tcMar>
          </w:tcPr>
          <w:p w14:paraId="08000000">
            <w:pPr>
              <w:tabs>
                <w:tab w:leader="none" w:pos="3064" w:val="left"/>
                <w:tab w:leader="none" w:pos="4873" w:val="cente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возможности, укажите:</w:t>
            </w: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организации: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0A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Сферу деятельности организации: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0C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контактного лица: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0E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телефона: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10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1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1200000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1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Публичные консультации</w:t>
      </w:r>
    </w:p>
    <w:p w14:paraId="15000000">
      <w:pPr>
        <w:spacing w:after="36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проекту нормативного правового акта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 xml:space="preserve"> в рамках проведения оценки регулирующего воздействия</w:t>
      </w:r>
    </w:p>
    <w:tbl>
      <w:tblPr>
        <w:tblStyle w:val="Style_3"/>
        <w:tblLayout w:type="fixed"/>
      </w:tblPr>
      <w:tblGrid>
        <w:gridCol w:w="5070"/>
        <w:gridCol w:w="4892"/>
      </w:tblGrid>
      <w:tr>
        <w:tc>
          <w:tcPr>
            <w:tcW w:type="dxa" w:w="5070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направления информации – не позднее:</w:t>
            </w:r>
          </w:p>
        </w:tc>
        <w:tc>
          <w:tcPr>
            <w:tcW w:type="dxa" w:w="4892"/>
            <w:tcMar>
              <w:top w:type="dxa" w:w="57"/>
              <w:bottom w:type="dxa" w:w="57"/>
            </w:tcMar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26.04.2024</w:t>
            </w:r>
          </w:p>
        </w:tc>
      </w:tr>
      <w:tr>
        <w:tc>
          <w:tcPr>
            <w:tcW w:type="dxa" w:w="5070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 для направления информации:</w:t>
            </w:r>
          </w:p>
        </w:tc>
        <w:tc>
          <w:tcPr>
            <w:tcW w:type="dxa" w:w="4892"/>
            <w:tcMar>
              <w:top w:type="dxa" w:w="57"/>
              <w:bottom w:type="dxa" w:w="57"/>
            </w:tcMar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GordienkoTA@kamgov.ru</w:t>
            </w:r>
          </w:p>
        </w:tc>
      </w:tr>
      <w:tr>
        <w:tc>
          <w:tcPr>
            <w:tcW w:type="dxa" w:w="5070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Контактное лицо </w:t>
            </w:r>
          </w:p>
        </w:tc>
        <w:tc>
          <w:tcPr>
            <w:tcW w:type="dxa" w:w="4892"/>
            <w:tcMar>
              <w:top w:type="dxa" w:w="57"/>
              <w:bottom w:type="dxa" w:w="57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Гордиенко Татьяна Анатольевна</w:t>
            </w:r>
          </w:p>
        </w:tc>
      </w:tr>
    </w:tbl>
    <w:p w14:paraId="1C000000">
      <w:pPr>
        <w:spacing w:before="36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сведения о проекте нормативного правового акта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>:</w:t>
      </w:r>
    </w:p>
    <w:tbl>
      <w:tblPr>
        <w:tblStyle w:val="Style_3"/>
        <w:tblLayout w:type="fixed"/>
      </w:tblPr>
      <w:tblGrid>
        <w:gridCol w:w="2964"/>
        <w:gridCol w:w="6664"/>
      </w:tblGrid>
      <w:t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Сфера государственного регулирования: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1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Особо охраняемые природные территории</w:t>
            </w:r>
          </w:p>
        </w:tc>
      </w:tr>
      <w:t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и наименование: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20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Постановление Правительства</w:t>
            </w:r>
            <w:r>
              <w:rPr>
                <w:rFonts w:ascii="Times New Roman" w:hAnsi="Times New Roman"/>
                <w:b w:val="0"/>
                <w:sz w:val="28"/>
              </w:rPr>
              <w:t xml:space="preserve"> Камчатского края </w:t>
            </w:r>
            <w:r>
              <w:rPr>
                <w:rFonts w:ascii="Times New Roman" w:hAnsi="Times New Roman"/>
                <w:b w:val="0"/>
                <w:sz w:val="28"/>
              </w:rPr>
              <w:t>«О внесении изменений в</w:t>
            </w:r>
            <w:r>
              <w:rPr>
                <w:rFonts w:ascii="Times New Roman" w:hAnsi="Times New Roman"/>
                <w:b w:val="0"/>
                <w:sz w:val="28"/>
              </w:rPr>
              <w:t xml:space="preserve"> постановление Правительства Камчатского края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 xml:space="preserve">от 05.07.2021 </w:t>
            </w:r>
            <w:r>
              <w:rPr>
                <w:rFonts w:ascii="Times New Roman" w:hAnsi="Times New Roman"/>
                <w:b w:val="0"/>
                <w:sz w:val="28"/>
              </w:rPr>
              <w:t>№</w:t>
            </w:r>
            <w:r>
              <w:rPr>
                <w:rFonts w:ascii="Times New Roman" w:hAnsi="Times New Roman"/>
                <w:b w:val="0"/>
                <w:sz w:val="28"/>
              </w:rPr>
              <w:t xml:space="preserve"> 285-П </w:t>
            </w:r>
            <w:r>
              <w:rPr>
                <w:rFonts w:ascii="Times New Roman" w:hAnsi="Times New Roman"/>
                <w:b w:val="0"/>
                <w:sz w:val="28"/>
              </w:rPr>
              <w:t>«</w:t>
            </w:r>
            <w:r>
              <w:rPr>
                <w:rFonts w:ascii="Times New Roman" w:hAnsi="Times New Roman"/>
                <w:b w:val="0"/>
                <w:sz w:val="28"/>
              </w:rPr>
              <w:t xml:space="preserve">Об утверждении </w:t>
            </w:r>
            <w:r>
              <w:rPr>
                <w:rFonts w:ascii="Times New Roman" w:hAnsi="Times New Roman"/>
                <w:b w:val="0"/>
                <w:sz w:val="28"/>
              </w:rPr>
              <w:t xml:space="preserve">Правил </w:t>
            </w:r>
            <w:r>
              <w:rPr>
                <w:rFonts w:ascii="Times New Roman" w:hAnsi="Times New Roman"/>
                <w:b w:val="0"/>
                <w:sz w:val="28"/>
              </w:rPr>
              <w:t xml:space="preserve">посещения </w:t>
            </w:r>
            <w:r>
              <w:rPr>
                <w:rFonts w:ascii="Times New Roman" w:hAnsi="Times New Roman"/>
                <w:b w:val="0"/>
                <w:sz w:val="28"/>
              </w:rPr>
              <w:t>лежбищ</w:t>
            </w:r>
            <w:r>
              <w:rPr>
                <w:rFonts w:ascii="Times New Roman" w:hAnsi="Times New Roman"/>
                <w:b w:val="0"/>
                <w:sz w:val="28"/>
              </w:rPr>
              <w:t xml:space="preserve"> морских млекопитающих и наблюдения за морскими млекопитающими </w:t>
            </w:r>
            <w:r>
              <w:rPr>
                <w:rFonts w:ascii="Times New Roman" w:hAnsi="Times New Roman"/>
                <w:b w:val="0"/>
                <w:sz w:val="28"/>
              </w:rPr>
              <w:t>на территории Камчатского края</w:t>
            </w:r>
            <w:r>
              <w:rPr>
                <w:rFonts w:ascii="Times New Roman" w:hAnsi="Times New Roman"/>
                <w:b w:val="0"/>
                <w:sz w:val="28"/>
              </w:rPr>
              <w:t>»</w:t>
            </w:r>
          </w:p>
          <w:p w14:paraId="21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</w:p>
        </w:tc>
      </w:tr>
      <w:tr>
        <w:trPr>
          <w:trHeight w:hRule="atLeast" w:val="262"/>
        </w:trP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2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ID </w:t>
            </w: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z w:val="28"/>
              </w:rPr>
              <w:t xml:space="preserve"> regulation.kamgov.ru: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  <w:highlight w:val="yellow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8"/>
              </w:rPr>
              <w:instrText>HYPERLINK "https://regulation.kamgov.ru/projects#npa=7678"</w:instrTex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8"/>
              </w:rPr>
              <w:t>https://regulation.kamgov.ru/projects#npa=</w: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bookmarkStart w:id="1" w:name="_GoBack"/>
            <w:bookmarkEnd w:id="1"/>
          </w:p>
        </w:tc>
      </w:tr>
    </w:tbl>
    <w:p w14:paraId="24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25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Вопросы:</w:t>
      </w:r>
    </w:p>
    <w:p w14:paraId="26000000">
      <w:pPr>
        <w:pStyle w:val="Style_5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5"/>
        <w:tblLayout w:type="fixed"/>
      </w:tblPr>
      <w:tblGrid>
        <w:gridCol w:w="9633"/>
      </w:tblGrid>
      <w:tr>
        <w:tc>
          <w:tcPr>
            <w:tcW w:type="dxa" w:w="9633"/>
          </w:tcPr>
          <w:p w14:paraId="27000000">
            <w:pPr>
              <w:pStyle w:val="Style_5"/>
              <w:numPr>
                <w:ilvl w:val="0"/>
                <w:numId w:val="1"/>
              </w:numPr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Насколько обоснована необходимость государственного вмешательства? Актуальна ли проблема, на решение которой направлено предлагаемое правовое регулирование</w:t>
            </w:r>
            <w:r>
              <w:rPr>
                <w:rFonts w:ascii="Times New Roman" w:hAnsi="Times New Roman"/>
                <w:sz w:val="28"/>
              </w:rPr>
              <w:t>, в Камчатском крае</w:t>
            </w:r>
            <w:r>
              <w:rPr>
                <w:rFonts w:ascii="Times New Roman" w:hAnsi="Times New Roman"/>
                <w:sz w:val="28"/>
              </w:rPr>
              <w:t>?</w:t>
            </w:r>
          </w:p>
          <w:p w14:paraId="28000000">
            <w:pPr>
              <w:pStyle w:val="Style_5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9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Является ли выбранный вариант решения проблемы оптимальным? Достигнет ли, на Ваш взгляд, правовое регулирование тех целей, на которые оно направлено? Существуют ли иные варианты достижения заявленных целей?</w:t>
            </w:r>
          </w:p>
          <w:p w14:paraId="2A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B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Достаточно ли полно и точно отражены обязанности, ответственность адресатов правового регулирования, а также насколько понятно прописаны административные процедуры?</w:t>
            </w:r>
          </w:p>
          <w:p w14:paraId="2C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D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14:paraId="2E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F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Приведет ли реализация правового регулирования к избыточным действиям или, наоборот, ограничению действий субъектов предпринимательской и иной экономической деятельности?</w:t>
            </w:r>
          </w:p>
          <w:p w14:paraId="30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1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Приведет ли реализация правового регулирования к возникновению обязанностей и запретов субъектов предпринимательской и иной экономической деятельности, к необоснованному существенному росту отдельных видов затрат или появлению новых необоснованных видов затрат?</w:t>
            </w:r>
          </w:p>
          <w:p w14:paraId="32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3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Приводит ли реализация правового регулирования к нарушению принципов конкуренции?</w:t>
            </w:r>
          </w:p>
          <w:p w14:paraId="34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5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каким позитивным/негативным последствиям может привести принятие правового регулирования? Приведите конкретные примеры.</w:t>
            </w:r>
          </w:p>
          <w:p w14:paraId="36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524"/>
        </w:trPr>
        <w:tc>
          <w:tcPr>
            <w:tcW w:type="dxa" w:w="9633"/>
          </w:tcPr>
          <w:p w14:paraId="37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Оцените издержки (упущенную выгоду) субъектов предпринимательской и иной экономической деятельности, возникающие при введении предлагаемого регулирования.</w:t>
            </w:r>
          </w:p>
          <w:p w14:paraId="38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9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      </w:r>
          </w:p>
          <w:p w14:paraId="3A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B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предложения и замечания, которые, по Вашему мнению, целесообразно учесть в рамках </w:t>
            </w:r>
            <w:r>
              <w:rPr>
                <w:rFonts w:ascii="Times New Roman" w:hAnsi="Times New Roman"/>
                <w:sz w:val="28"/>
              </w:rPr>
              <w:t xml:space="preserve">процедуры </w:t>
            </w:r>
            <w:r>
              <w:rPr>
                <w:rFonts w:ascii="Times New Roman" w:hAnsi="Times New Roman"/>
                <w:sz w:val="28"/>
              </w:rPr>
              <w:t>оценки регулирующего воздействия.</w:t>
            </w:r>
          </w:p>
          <w:p w14:paraId="3C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3D000000">
      <w:pPr>
        <w:pStyle w:val="Style_5"/>
        <w:ind/>
        <w:jc w:val="both"/>
      </w:pPr>
    </w:p>
    <w:p w14:paraId="3E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/>
        <w:jc w:val="both"/>
        <w:outlineLvl w:val="0"/>
      </w:pPr>
    </w:p>
    <w:sectPr>
      <w:headerReference r:id="rId1" w:type="default"/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4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footer"/>
    <w:basedOn w:val="Style_6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9_ch" w:type="character">
    <w:name w:val="footer"/>
    <w:basedOn w:val="Style_6_ch"/>
    <w:link w:val="Style_9"/>
    <w:rPr>
      <w:rFonts w:ascii="Times New Roman" w:hAnsi="Times New Roman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footnote reference"/>
    <w:basedOn w:val="Style_14"/>
    <w:link w:val="Style_13_ch"/>
    <w:rPr>
      <w:vertAlign w:val="superscript"/>
    </w:rPr>
  </w:style>
  <w:style w:styleId="Style_13_ch" w:type="character">
    <w:name w:val="footnote reference"/>
    <w:basedOn w:val="Style_14_ch"/>
    <w:link w:val="Style_13"/>
    <w:rPr>
      <w:vertAlign w:val="superscript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_ch" w:type="character">
    <w:name w:val="ConsPlusTitle"/>
    <w:link w:val="Style_2"/>
    <w:rPr>
      <w:rFonts w:ascii="Calibri" w:hAnsi="Calibri"/>
      <w:b w:val="1"/>
    </w:rPr>
  </w:style>
  <w:style w:styleId="Style_15" w:type="paragraph">
    <w:name w:val="Plain Text"/>
    <w:basedOn w:val="Style_6"/>
    <w:link w:val="Style_15_ch"/>
    <w:pPr>
      <w:spacing w:after="0" w:line="240" w:lineRule="auto"/>
      <w:ind/>
    </w:pPr>
    <w:rPr>
      <w:rFonts w:ascii="Calibri" w:hAnsi="Calibri"/>
    </w:rPr>
  </w:style>
  <w:style w:styleId="Style_15_ch" w:type="character">
    <w:name w:val="Plain Text"/>
    <w:basedOn w:val="Style_6_ch"/>
    <w:link w:val="Style_15"/>
    <w:rPr>
      <w:rFonts w:ascii="Calibri" w:hAnsi="Calibri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4" w:type="paragraph">
    <w:name w:val="Hyperlink"/>
    <w:basedOn w:val="Style_14"/>
    <w:link w:val="Style_4_ch"/>
    <w:rPr>
      <w:color w:themeColor="hyperlink" w:val="0563C1"/>
      <w:u w:val="single"/>
    </w:rPr>
  </w:style>
  <w:style w:styleId="Style_4_ch" w:type="character">
    <w:name w:val="Hyperlink"/>
    <w:basedOn w:val="Style_14_ch"/>
    <w:link w:val="Style_4"/>
    <w:rPr>
      <w:color w:themeColor="hyperlink" w:val="0563C1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Calibri" w:hAnsi="Calibri"/>
    </w:rPr>
  </w:style>
  <w:style w:styleId="Style_5_ch" w:type="character">
    <w:name w:val="ConsPlusNormal"/>
    <w:link w:val="Style_5"/>
    <w:rPr>
      <w:rFonts w:ascii="Calibri" w:hAnsi="Calibri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List Paragraph"/>
    <w:basedOn w:val="Style_6"/>
    <w:link w:val="Style_22_ch"/>
    <w:pPr>
      <w:ind w:firstLine="0" w:left="720"/>
      <w:contextualSpacing w:val="1"/>
    </w:pPr>
  </w:style>
  <w:style w:styleId="Style_22_ch" w:type="character">
    <w:name w:val="List Paragraph"/>
    <w:basedOn w:val="Style_6_ch"/>
    <w:link w:val="Style_22"/>
  </w:style>
  <w:style w:styleId="Style_23" w:type="paragraph">
    <w:name w:val="toc 9"/>
    <w:next w:val="Style_6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6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ConsPlusNonformat"/>
    <w:link w:val="Style_25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5_ch" w:type="character">
    <w:name w:val="ConsPlusNonformat"/>
    <w:link w:val="Style_25"/>
    <w:rPr>
      <w:rFonts w:ascii="Courier New" w:hAnsi="Courier New"/>
      <w:sz w:val="20"/>
    </w:rPr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7" w:type="paragraph">
    <w:name w:val="Subtitle"/>
    <w:next w:val="Style_6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6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6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6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Balloon Text"/>
    <w:basedOn w:val="Style_6"/>
    <w:link w:val="Style_31_ch"/>
    <w:pPr>
      <w:spacing w:after="0" w:line="240" w:lineRule="auto"/>
      <w:ind/>
    </w:pPr>
    <w:rPr>
      <w:rFonts w:ascii="Segoe UI" w:hAnsi="Segoe UI"/>
      <w:sz w:val="18"/>
    </w:rPr>
  </w:style>
  <w:style w:styleId="Style_31_ch" w:type="character">
    <w:name w:val="Balloon Text"/>
    <w:basedOn w:val="Style_6_ch"/>
    <w:link w:val="Style_31"/>
    <w:rPr>
      <w:rFonts w:ascii="Segoe UI" w:hAnsi="Segoe UI"/>
      <w:sz w:val="18"/>
    </w:rPr>
  </w:style>
  <w:style w:styleId="Style_3" w:type="table">
    <w:name w:val="Table Grid"/>
    <w:basedOn w:val="Style_3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2024-04-14T22:02:07Z</dcterms:modified>
</cp:coreProperties>
</file>