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75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ГУБЕРНАТОРА КАМЧАТСКОГО КРАЯ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7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1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75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</w:t>
            </w:r>
            <w:r>
              <w:rPr>
                <w:rFonts w:ascii="Times New Roman" w:hAnsi="Times New Roman"/>
                <w:b/>
                <w:sz w:val="28"/>
              </w:rPr>
              <w:t xml:space="preserve">е</w:t>
            </w:r>
            <w:r>
              <w:rPr>
                <w:rFonts w:ascii="Times New Roman" w:hAnsi="Times New Roman"/>
                <w:b/>
                <w:sz w:val="28"/>
              </w:rPr>
              <w:t xml:space="preserve"> Губернатора Камчатского края от 12.04.2013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№ 50 «</w:t>
            </w:r>
            <w:r>
              <w:rPr>
                <w:rFonts w:ascii="Times New Roman" w:hAnsi="Times New Roman"/>
                <w:b/>
                <w:sz w:val="28"/>
              </w:rPr>
              <w:t xml:space="preserve">Об определении видов разрешенной охоты, сроков охоты, допустимых для использования орудий охоты, и иных ограничений охоты, в соответствующих охотничьих угодьях на территории Камчатского края</w:t>
            </w:r>
            <w:r>
              <w:rPr>
                <w:rFonts w:ascii="Times New Roman" w:hAnsi="Times New Roman"/>
                <w:b/>
                <w:sz w:val="28"/>
              </w:rPr>
              <w:t xml:space="preserve">»</w:t>
            </w:r>
            <w:r>
              <w:rPr>
                <w:b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ПОСТАНОВЛЯЮ: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20"/>
        <w:jc w:val="both"/>
        <w:spacing w:line="240" w:lineRule="auto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</w:t>
      </w:r>
      <w:r>
        <w:rPr>
          <w:rFonts w:ascii="Times New Roman" w:hAnsi="Times New Roman"/>
          <w:b w:val="0"/>
          <w:sz w:val="28"/>
        </w:rPr>
        <w:t xml:space="preserve">. </w:t>
      </w:r>
      <w:r>
        <w:rPr>
          <w:rFonts w:ascii="Times New Roman" w:hAnsi="Times New Roman"/>
          <w:b w:val="0"/>
          <w:sz w:val="28"/>
        </w:rPr>
        <w:t xml:space="preserve">Внести в постановлени</w:t>
      </w:r>
      <w:r>
        <w:rPr>
          <w:rFonts w:ascii="Times New Roman" w:hAnsi="Times New Roman"/>
          <w:b w:val="0"/>
          <w:sz w:val="28"/>
        </w:rPr>
        <w:t xml:space="preserve">е</w:t>
      </w:r>
      <w:r>
        <w:rPr>
          <w:rFonts w:ascii="Times New Roman" w:hAnsi="Times New Roman"/>
          <w:b w:val="0"/>
          <w:sz w:val="28"/>
        </w:rPr>
        <w:t xml:space="preserve"> Губернатора Камчатского края </w:t>
      </w:r>
      <w:r>
        <w:rPr>
          <w:rFonts w:ascii="Times New Roman" w:hAnsi="Times New Roman"/>
          <w:b w:val="0"/>
          <w:sz w:val="28"/>
        </w:rPr>
        <w:t xml:space="preserve">                                                  </w:t>
      </w:r>
      <w:r>
        <w:rPr>
          <w:rFonts w:ascii="Times New Roman" w:hAnsi="Times New Roman"/>
          <w:b w:val="0"/>
          <w:sz w:val="28"/>
        </w:rPr>
        <w:t xml:space="preserve">о</w:t>
      </w:r>
      <w:r>
        <w:rPr>
          <w:rFonts w:ascii="Times New Roman" w:hAnsi="Times New Roman"/>
          <w:b w:val="0"/>
          <w:sz w:val="28"/>
        </w:rPr>
        <w:t xml:space="preserve">т 12.04.2013 </w:t>
      </w:r>
      <w:r>
        <w:rPr>
          <w:rFonts w:ascii="Times New Roman" w:hAnsi="Times New Roman"/>
          <w:b w:val="0"/>
          <w:sz w:val="28"/>
        </w:rPr>
        <w:t xml:space="preserve">№ 50 «</w:t>
      </w:r>
      <w:r>
        <w:rPr>
          <w:rFonts w:ascii="Times New Roman" w:hAnsi="Times New Roman"/>
          <w:b w:val="0"/>
          <w:sz w:val="28"/>
        </w:rPr>
        <w:t xml:space="preserve">Об определении видов разрешенной охоты, сроков охоты, допустимых для использования орудий охоты, и иных ограничений охоты, в соответствующих охотничьих угодьях на территории Камчатского края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 xml:space="preserve">следующие изменения</w:t>
      </w:r>
      <w:r>
        <w:rPr>
          <w:rFonts w:ascii="Times New Roman" w:hAnsi="Times New Roman"/>
          <w:b w:val="0"/>
          <w:sz w:val="28"/>
        </w:rPr>
        <w:t xml:space="preserve">:</w:t>
      </w:r>
      <w:r>
        <w:rPr>
          <w:rFonts w:ascii="Times New Roman" w:hAnsi="Times New Roman"/>
          <w:b w:val="0"/>
          <w:sz w:val="28"/>
        </w:rPr>
      </w:r>
    </w:p>
    <w:p>
      <w:pPr>
        <w:ind w:left="0" w:firstLine="709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в пункте 2 постановляющей части слово «орудий» заменить на слово «орудия»;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) приложени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изложить в </w:t>
      </w:r>
      <w:r>
        <w:rPr>
          <w:rFonts w:ascii="Times New Roman" w:hAnsi="Times New Roman"/>
          <w:sz w:val="28"/>
        </w:rPr>
        <w:t xml:space="preserve">редакции согласно </w:t>
      </w:r>
      <w:r>
        <w:rPr>
          <w:rFonts w:ascii="Times New Roman" w:hAnsi="Times New Roman"/>
          <w:sz w:val="28"/>
        </w:rPr>
        <w:t xml:space="preserve">прилож</w:t>
      </w:r>
      <w:r>
        <w:rPr>
          <w:rFonts w:ascii="Times New Roman" w:hAnsi="Times New Roman"/>
          <w:sz w:val="28"/>
        </w:rPr>
        <w:t xml:space="preserve">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настоящему постановлению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 xml:space="preserve"> и действует по 16 июня 2026 года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76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970"/>
      </w:tblGrid>
      <w:tr>
        <w:trPr>
          <w:trHeight w:val="1737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4824" w:type="dxa"/>
            <w:textDirection w:val="lrTb"/>
            <w:noWrap w:val="false"/>
          </w:tcPr>
          <w:p>
            <w:pPr>
              <w:ind w:right="-116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[горизонтальный штамп подписи 1]</w:t>
            </w:r>
            <w:bookmarkEnd w:id="2"/>
            <w:r/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  <w:p>
            <w:pPr>
              <w:ind w:left="0" w:firstLine="709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970" w:type="dxa"/>
            <w:textDirection w:val="lrTb"/>
            <w:noWrap w:val="false"/>
          </w:tcPr>
          <w:p>
            <w:pPr>
              <w:ind w:right="-6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В.В. Солодов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r/>
      <w:r/>
    </w:p>
    <w:p>
      <w:r/>
      <w:r/>
    </w:p>
    <w:tbl>
      <w:tblPr>
        <w:tblStyle w:val="675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left="8079" w:hanging="8079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r/>
            <w:bookmarkEnd w:id="3"/>
            <w:r>
              <w:rPr>
                <w:rFonts w:ascii="Times New Roman" w:hAnsi="Times New Roman"/>
                <w:sz w:val="28"/>
              </w:rPr>
              <w:t xml:space="preserve">к постановлению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left="8079" w:hanging="8079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Губернатора Камчатского края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9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</w:tr>
    </w:tbl>
    <w:p>
      <w:pPr>
        <w:ind w:left="4820" w:right="-285" w:firstLine="0"/>
        <w:jc w:val="both"/>
        <w:spacing w:line="240" w:lineRule="auto"/>
        <w:tabs>
          <w:tab w:val="left" w:pos="6379" w:leader="none"/>
        </w:tabs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 «Приложение 2 к постановлению </w:t>
      </w:r>
      <w:r>
        <w:rPr>
          <w:rFonts w:ascii="Times New Roman" w:hAnsi="Times New Roman"/>
          <w:sz w:val="28"/>
        </w:rPr>
      </w:r>
    </w:p>
    <w:p>
      <w:pPr>
        <w:ind w:right="-285"/>
        <w:jc w:val="both"/>
        <w:spacing w:line="240" w:lineRule="auto"/>
        <w:tabs>
          <w:tab w:val="left" w:pos="4820" w:leader="none"/>
        </w:tabs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Губернатора Камчатского края</w:t>
      </w:r>
      <w:r>
        <w:rPr>
          <w:rFonts w:ascii="Times New Roman" w:hAnsi="Times New Roman"/>
          <w:sz w:val="28"/>
        </w:rPr>
      </w:r>
    </w:p>
    <w:p>
      <w:pPr>
        <w:ind w:left="4820" w:right="-285" w:firstLine="0"/>
        <w:jc w:val="both"/>
        <w:spacing w:line="240" w:lineRule="auto"/>
        <w:tabs>
          <w:tab w:val="left" w:pos="6379" w:leader="none"/>
        </w:tabs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от 12.04.2013 № 50</w:t>
      </w:r>
      <w:r>
        <w:rPr>
          <w:rFonts w:ascii="Times New Roman" w:hAnsi="Times New Roman"/>
          <w:sz w:val="28"/>
        </w:rPr>
      </w:r>
    </w:p>
    <w:p>
      <w:pPr>
        <w:ind w:right="-285"/>
        <w:jc w:val="both"/>
        <w:spacing w:line="240" w:lineRule="auto"/>
        <w:tabs>
          <w:tab w:val="left" w:pos="4820" w:leader="none"/>
        </w:tabs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Сроки охоты, допустимые для использования оруди</w:t>
      </w:r>
      <w:r>
        <w:rPr>
          <w:rFonts w:ascii="Times New Roman" w:hAnsi="Times New Roman"/>
          <w:sz w:val="28"/>
        </w:rPr>
        <w:t xml:space="preserve">я</w:t>
      </w:r>
      <w:r>
        <w:rPr>
          <w:rFonts w:ascii="Times New Roman" w:hAnsi="Times New Roman"/>
          <w:sz w:val="28"/>
        </w:rPr>
        <w:t xml:space="preserve"> охоты, и ины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ограничени</w:t>
      </w:r>
      <w:r>
        <w:rPr>
          <w:rFonts w:ascii="Times New Roman" w:hAnsi="Times New Roman"/>
          <w:sz w:val="28"/>
        </w:rPr>
        <w:t xml:space="preserve">я</w:t>
      </w:r>
      <w:r>
        <w:rPr>
          <w:rFonts w:ascii="Times New Roman" w:hAnsi="Times New Roman"/>
          <w:sz w:val="28"/>
        </w:rPr>
        <w:t xml:space="preserve"> охоты, в соответствующих охотничьих угодьях на территории </w:t>
      </w:r>
      <w:r>
        <w:rPr>
          <w:rFonts w:ascii="Times New Roman" w:hAnsi="Times New Roman"/>
          <w:sz w:val="28"/>
        </w:rPr>
        <w:t xml:space="preserve">Камчатского края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. Сроки охоты на бурого медведя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 11 апреля по 10 июня;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 1 августа по 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ноября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Сроки охоты на пушных животных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белка </w:t>
      </w:r>
      <w:r>
        <w:rPr>
          <w:rFonts w:ascii="Times New Roman" w:hAnsi="Times New Roman"/>
          <w:sz w:val="28"/>
        </w:rPr>
        <w:t xml:space="preserve">обыкновенная, горностай, ласка, </w:t>
      </w:r>
      <w:r>
        <w:rPr>
          <w:rFonts w:ascii="Times New Roman" w:hAnsi="Times New Roman"/>
          <w:sz w:val="28"/>
        </w:rPr>
        <w:t xml:space="preserve">летяга, </w:t>
      </w:r>
      <w:r>
        <w:rPr>
          <w:rFonts w:ascii="Times New Roman" w:hAnsi="Times New Roman"/>
          <w:sz w:val="28"/>
        </w:rPr>
        <w:t xml:space="preserve">норка американская, росомаха, рысь, соболь –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1 ноября по 28(29) февраля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. Сроки весенней охоты на пернатую дичь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 водоплавающую дичь: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1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зона I: в охотничьих угодьях, расположенных в границах </w:t>
      </w:r>
      <w:r>
        <w:rPr>
          <w:rFonts w:ascii="Times New Roman" w:hAnsi="Times New Roman"/>
          <w:sz w:val="28"/>
        </w:rPr>
        <w:t xml:space="preserve">Быстринского</w:t>
      </w:r>
      <w:r>
        <w:rPr>
          <w:rFonts w:ascii="Times New Roman" w:hAnsi="Times New Roman"/>
          <w:sz w:val="28"/>
        </w:rPr>
        <w:t xml:space="preserve"> (охотничьи угодья № 1 «</w:t>
      </w:r>
      <w:r>
        <w:rPr>
          <w:rFonts w:ascii="Times New Roman" w:hAnsi="Times New Roman"/>
          <w:sz w:val="28"/>
        </w:rPr>
        <w:t xml:space="preserve">Кекукский</w:t>
      </w:r>
      <w:r>
        <w:rPr>
          <w:rFonts w:ascii="Times New Roman" w:hAnsi="Times New Roman"/>
          <w:sz w:val="28"/>
        </w:rPr>
        <w:t xml:space="preserve">», № 2 «</w:t>
      </w:r>
      <w:r>
        <w:rPr>
          <w:rFonts w:ascii="Times New Roman" w:hAnsi="Times New Roman"/>
          <w:sz w:val="28"/>
        </w:rPr>
        <w:t xml:space="preserve">Теклова</w:t>
      </w:r>
      <w:r>
        <w:rPr>
          <w:rFonts w:ascii="Times New Roman" w:hAnsi="Times New Roman"/>
          <w:sz w:val="28"/>
        </w:rPr>
        <w:t xml:space="preserve">ямский</w:t>
      </w:r>
      <w:r>
        <w:rPr>
          <w:rFonts w:ascii="Times New Roman" w:hAnsi="Times New Roman"/>
          <w:sz w:val="28"/>
        </w:rPr>
        <w:t xml:space="preserve">», № 3 «Рыбный», № 4 «</w:t>
      </w:r>
      <w:r>
        <w:rPr>
          <w:rFonts w:ascii="Times New Roman" w:hAnsi="Times New Roman"/>
          <w:sz w:val="28"/>
        </w:rPr>
        <w:t xml:space="preserve">Чабинский</w:t>
      </w:r>
      <w:r>
        <w:rPr>
          <w:rFonts w:ascii="Times New Roman" w:hAnsi="Times New Roman"/>
          <w:sz w:val="28"/>
        </w:rPr>
        <w:t xml:space="preserve">», № 5 «</w:t>
      </w:r>
      <w:r>
        <w:rPr>
          <w:rFonts w:ascii="Times New Roman" w:hAnsi="Times New Roman"/>
          <w:sz w:val="28"/>
        </w:rPr>
        <w:t xml:space="preserve">Верхнетихой</w:t>
      </w:r>
      <w:r>
        <w:rPr>
          <w:rFonts w:ascii="Times New Roman" w:hAnsi="Times New Roman"/>
          <w:sz w:val="28"/>
        </w:rPr>
        <w:t xml:space="preserve">», № 6 «</w:t>
      </w:r>
      <w:r>
        <w:rPr>
          <w:rFonts w:ascii="Times New Roman" w:hAnsi="Times New Roman"/>
          <w:sz w:val="28"/>
        </w:rPr>
        <w:t xml:space="preserve">Янпатский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№ 10 «</w:t>
      </w:r>
      <w:r>
        <w:rPr>
          <w:rFonts w:ascii="Times New Roman" w:hAnsi="Times New Roman"/>
          <w:sz w:val="28"/>
        </w:rPr>
        <w:t xml:space="preserve">Алней</w:t>
      </w:r>
      <w:r>
        <w:rPr>
          <w:rFonts w:ascii="Times New Roman" w:hAnsi="Times New Roman"/>
          <w:sz w:val="28"/>
        </w:rPr>
        <w:t xml:space="preserve">»),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-Большерецкого (к югу от русел рек Большая </w:t>
      </w:r>
      <w:r>
        <w:rPr>
          <w:rFonts w:ascii="Times New Roman" w:hAnsi="Times New Roman"/>
          <w:sz w:val="28"/>
        </w:rPr>
        <w:t xml:space="preserve">–</w:t>
      </w:r>
      <w:r>
        <w:rPr>
          <w:rFonts w:ascii="Times New Roman" w:hAnsi="Times New Roman"/>
          <w:sz w:val="28"/>
        </w:rPr>
        <w:t xml:space="preserve"> Плотникова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  <w:t xml:space="preserve"> охотничьи угодья </w:t>
      </w:r>
      <w:r>
        <w:rPr>
          <w:rFonts w:ascii="Times New Roman" w:hAnsi="Times New Roman"/>
          <w:sz w:val="28"/>
        </w:rPr>
        <w:t xml:space="preserve">«Порожистый», «</w:t>
      </w:r>
      <w:r>
        <w:rPr>
          <w:rFonts w:ascii="Times New Roman" w:hAnsi="Times New Roman"/>
          <w:sz w:val="28"/>
        </w:rPr>
        <w:t xml:space="preserve">Кихчик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Хомутинский</w:t>
      </w:r>
      <w:r>
        <w:rPr>
          <w:rFonts w:ascii="Times New Roman" w:hAnsi="Times New Roman"/>
          <w:sz w:val="28"/>
        </w:rPr>
        <w:t xml:space="preserve">», «Приморский» - правобережье, «</w:t>
      </w:r>
      <w:r>
        <w:rPr>
          <w:rFonts w:ascii="Times New Roman" w:hAnsi="Times New Roman"/>
          <w:sz w:val="28"/>
        </w:rPr>
        <w:t xml:space="preserve">Утинский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Начиловский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Быстринский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Верхнегольцовский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, «</w:t>
      </w:r>
      <w:r>
        <w:rPr>
          <w:rFonts w:ascii="Times New Roman" w:hAnsi="Times New Roman"/>
          <w:sz w:val="28"/>
        </w:rPr>
        <w:t xml:space="preserve">Пуконка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Апачинский</w:t>
      </w:r>
      <w:r>
        <w:rPr>
          <w:rFonts w:ascii="Times New Roman" w:hAnsi="Times New Roman"/>
          <w:sz w:val="28"/>
        </w:rPr>
        <w:t xml:space="preserve">»)</w:t>
      </w:r>
      <w:r>
        <w:rPr>
          <w:rFonts w:ascii="Times New Roman" w:hAnsi="Times New Roman"/>
          <w:sz w:val="28"/>
        </w:rPr>
        <w:t xml:space="preserve"> районов Камчатского края – с четвертой субботы апреля продолжительностью 10 календарных дней;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зона II: </w:t>
      </w:r>
      <w:r>
        <w:rPr>
          <w:rFonts w:ascii="Times New Roman" w:hAnsi="Times New Roman"/>
          <w:sz w:val="28"/>
        </w:rPr>
        <w:t xml:space="preserve">в охотн</w:t>
      </w:r>
      <w:r>
        <w:rPr>
          <w:rFonts w:ascii="Times New Roman" w:hAnsi="Times New Roman"/>
          <w:sz w:val="28"/>
        </w:rPr>
        <w:t xml:space="preserve">ичьих угодьях, расположенных в границах </w:t>
      </w:r>
      <w:r>
        <w:rPr>
          <w:rFonts w:ascii="Times New Roman" w:hAnsi="Times New Roman"/>
          <w:sz w:val="28"/>
        </w:rPr>
        <w:t xml:space="preserve">Быстринского</w:t>
      </w:r>
      <w:r>
        <w:rPr>
          <w:rFonts w:ascii="Times New Roman" w:hAnsi="Times New Roman"/>
          <w:sz w:val="28"/>
        </w:rPr>
        <w:t xml:space="preserve"> (охотничьи угодья № 9 «</w:t>
      </w:r>
      <w:r>
        <w:rPr>
          <w:rFonts w:ascii="Times New Roman" w:hAnsi="Times New Roman"/>
          <w:sz w:val="28"/>
        </w:rPr>
        <w:t xml:space="preserve">Быстринский</w:t>
      </w:r>
      <w:r>
        <w:rPr>
          <w:rFonts w:ascii="Times New Roman" w:hAnsi="Times New Roman"/>
          <w:sz w:val="28"/>
        </w:rPr>
        <w:t xml:space="preserve">», № 11 «</w:t>
      </w:r>
      <w:r>
        <w:rPr>
          <w:rFonts w:ascii="Times New Roman" w:hAnsi="Times New Roman"/>
          <w:sz w:val="28"/>
        </w:rPr>
        <w:t xml:space="preserve">Скара</w:t>
      </w:r>
      <w:r>
        <w:rPr>
          <w:rFonts w:ascii="Times New Roman" w:hAnsi="Times New Roman"/>
          <w:sz w:val="28"/>
        </w:rPr>
        <w:t xml:space="preserve">», № 12 «</w:t>
      </w:r>
      <w:r>
        <w:rPr>
          <w:rFonts w:ascii="Times New Roman" w:hAnsi="Times New Roman"/>
          <w:sz w:val="28"/>
        </w:rPr>
        <w:t xml:space="preserve">Уксичанский</w:t>
      </w:r>
      <w:r>
        <w:rPr>
          <w:rFonts w:ascii="Times New Roman" w:hAnsi="Times New Roman"/>
          <w:sz w:val="28"/>
        </w:rPr>
        <w:t xml:space="preserve">», № 13 «</w:t>
      </w:r>
      <w:r>
        <w:rPr>
          <w:rFonts w:ascii="Times New Roman" w:hAnsi="Times New Roman"/>
          <w:sz w:val="28"/>
        </w:rPr>
        <w:t xml:space="preserve">Тополовский</w:t>
      </w:r>
      <w:r>
        <w:rPr>
          <w:rFonts w:ascii="Times New Roman" w:hAnsi="Times New Roman"/>
          <w:sz w:val="28"/>
        </w:rPr>
        <w:t xml:space="preserve">», № 16 «Романовский»,</w:t>
      </w:r>
      <w:r>
        <w:rPr>
          <w:rFonts w:ascii="Times New Roman" w:hAnsi="Times New Roman"/>
          <w:sz w:val="28"/>
        </w:rPr>
        <w:t xml:space="preserve"> № 17 «</w:t>
      </w:r>
      <w:r>
        <w:rPr>
          <w:rFonts w:ascii="Times New Roman" w:hAnsi="Times New Roman"/>
          <w:sz w:val="28"/>
        </w:rPr>
        <w:t xml:space="preserve">Рассошинский</w:t>
      </w:r>
      <w:r>
        <w:rPr>
          <w:rFonts w:ascii="Times New Roman" w:hAnsi="Times New Roman"/>
          <w:sz w:val="28"/>
        </w:rPr>
        <w:t xml:space="preserve">», № 18 «Сопочный», № 19 «Сухарики», № 20 «</w:t>
      </w:r>
      <w:r>
        <w:rPr>
          <w:rFonts w:ascii="Times New Roman" w:hAnsi="Times New Roman"/>
          <w:sz w:val="28"/>
        </w:rPr>
        <w:t xml:space="preserve">Тваянский</w:t>
      </w:r>
      <w:r>
        <w:rPr>
          <w:rFonts w:ascii="Times New Roman" w:hAnsi="Times New Roman"/>
          <w:sz w:val="28"/>
        </w:rPr>
        <w:t xml:space="preserve">», № 21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Ичинский</w:t>
      </w:r>
      <w:r>
        <w:rPr>
          <w:rFonts w:ascii="Times New Roman" w:hAnsi="Times New Roman"/>
          <w:sz w:val="28"/>
        </w:rPr>
        <w:t xml:space="preserve">», № 22 «Семеновский», № 23 «</w:t>
      </w:r>
      <w:r>
        <w:rPr>
          <w:rFonts w:ascii="Times New Roman" w:hAnsi="Times New Roman"/>
          <w:sz w:val="28"/>
        </w:rPr>
        <w:t xml:space="preserve">Кимитинский</w:t>
      </w:r>
      <w:r>
        <w:rPr>
          <w:rFonts w:ascii="Times New Roman" w:hAnsi="Times New Roman"/>
          <w:sz w:val="28"/>
        </w:rPr>
        <w:t xml:space="preserve">», № 25 «</w:t>
      </w:r>
      <w:r>
        <w:rPr>
          <w:rFonts w:ascii="Times New Roman" w:hAnsi="Times New Roman"/>
          <w:sz w:val="28"/>
        </w:rPr>
        <w:t xml:space="preserve">Облуковинское</w:t>
      </w:r>
      <w:r>
        <w:rPr>
          <w:rFonts w:ascii="Times New Roman" w:hAnsi="Times New Roman"/>
          <w:sz w:val="28"/>
        </w:rPr>
        <w:t xml:space="preserve">», № 28 «</w:t>
      </w:r>
      <w:r>
        <w:rPr>
          <w:rFonts w:ascii="Times New Roman" w:hAnsi="Times New Roman"/>
          <w:sz w:val="28"/>
        </w:rPr>
        <w:t xml:space="preserve">Андриановский</w:t>
      </w:r>
      <w:r>
        <w:rPr>
          <w:rFonts w:ascii="Times New Roman" w:hAnsi="Times New Roman"/>
          <w:sz w:val="28"/>
        </w:rPr>
        <w:t xml:space="preserve">», № 29 «</w:t>
      </w:r>
      <w:r>
        <w:rPr>
          <w:rFonts w:ascii="Times New Roman" w:hAnsi="Times New Roman"/>
          <w:sz w:val="28"/>
        </w:rPr>
        <w:t xml:space="preserve">Копылье</w:t>
      </w:r>
      <w:r>
        <w:rPr>
          <w:rFonts w:ascii="Times New Roman" w:hAnsi="Times New Roman"/>
          <w:sz w:val="28"/>
        </w:rPr>
        <w:t xml:space="preserve">»), </w:t>
      </w:r>
      <w:r>
        <w:rPr>
          <w:rFonts w:ascii="Times New Roman" w:hAnsi="Times New Roman"/>
          <w:sz w:val="28"/>
        </w:rPr>
        <w:t xml:space="preserve">Мильковского (все охотничьи угодья)</w:t>
      </w:r>
      <w:r>
        <w:rPr>
          <w:rFonts w:ascii="Times New Roman" w:hAnsi="Times New Roman"/>
          <w:sz w:val="28"/>
        </w:rPr>
        <w:t xml:space="preserve">, Соболевского (все охотничьи угодья)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-Камчатского (юго-западнее реки </w:t>
      </w:r>
      <w:r>
        <w:rPr>
          <w:rFonts w:ascii="Times New Roman" w:hAnsi="Times New Roman"/>
          <w:sz w:val="28"/>
        </w:rPr>
        <w:t xml:space="preserve">Двухюрточная</w:t>
      </w:r>
      <w:r>
        <w:rPr>
          <w:rFonts w:ascii="Times New Roman" w:hAnsi="Times New Roman"/>
          <w:sz w:val="28"/>
        </w:rPr>
        <w:t xml:space="preserve">, вклю</w:t>
      </w:r>
      <w:r>
        <w:rPr>
          <w:rFonts w:ascii="Times New Roman" w:hAnsi="Times New Roman"/>
          <w:sz w:val="28"/>
        </w:rPr>
        <w:t xml:space="preserve">чая охотничьи угодья  № 14 «Белая», № 26 «Левая Половинная», </w:t>
      </w:r>
      <w:r>
        <w:rPr>
          <w:rFonts w:ascii="Times New Roman" w:hAnsi="Times New Roman"/>
          <w:sz w:val="28"/>
        </w:rPr>
        <w:t xml:space="preserve">№ 28 «Правая </w:t>
      </w:r>
      <w:r>
        <w:rPr>
          <w:rFonts w:ascii="Times New Roman" w:hAnsi="Times New Roman"/>
          <w:sz w:val="28"/>
        </w:rPr>
        <w:t xml:space="preserve">Половиная</w:t>
      </w:r>
      <w:r>
        <w:rPr>
          <w:rFonts w:ascii="Times New Roman" w:hAnsi="Times New Roman"/>
          <w:sz w:val="28"/>
        </w:rPr>
        <w:t xml:space="preserve">-Крюки», № 29 «</w:t>
      </w:r>
      <w:r>
        <w:rPr>
          <w:rFonts w:ascii="Times New Roman" w:hAnsi="Times New Roman"/>
          <w:sz w:val="28"/>
        </w:rPr>
        <w:t xml:space="preserve">Крерук</w:t>
      </w:r>
      <w:r>
        <w:rPr>
          <w:rFonts w:ascii="Times New Roman" w:hAnsi="Times New Roman"/>
          <w:sz w:val="28"/>
        </w:rPr>
        <w:t xml:space="preserve">», № 30 «Чаша», № 31 «</w:t>
      </w:r>
      <w:r>
        <w:rPr>
          <w:rFonts w:ascii="Times New Roman" w:hAnsi="Times New Roman"/>
          <w:sz w:val="28"/>
        </w:rPr>
        <w:t xml:space="preserve">Кахтун</w:t>
      </w:r>
      <w:r>
        <w:rPr>
          <w:rFonts w:ascii="Times New Roman" w:hAnsi="Times New Roman"/>
          <w:sz w:val="28"/>
        </w:rPr>
        <w:t xml:space="preserve">», № 32 «Фомкин», № 42 «Крапивинский», № 45 «Западный»), </w:t>
      </w:r>
      <w:r>
        <w:rPr>
          <w:rFonts w:ascii="Times New Roman" w:hAnsi="Times New Roman"/>
          <w:sz w:val="28"/>
        </w:rPr>
        <w:t xml:space="preserve">Карагинского</w:t>
      </w:r>
      <w:r>
        <w:rPr>
          <w:rFonts w:ascii="Times New Roman" w:hAnsi="Times New Roman"/>
          <w:sz w:val="28"/>
        </w:rPr>
        <w:t xml:space="preserve"> (севернее водораздела рек </w:t>
      </w:r>
      <w:r>
        <w:rPr>
          <w:rFonts w:ascii="Times New Roman" w:hAnsi="Times New Roman"/>
          <w:sz w:val="28"/>
        </w:rPr>
        <w:t xml:space="preserve">Кичига-Паклаваям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Кичига-Сигаиэктап</w:t>
      </w:r>
      <w:r>
        <w:rPr>
          <w:rFonts w:ascii="Times New Roman" w:hAnsi="Times New Roman"/>
          <w:sz w:val="28"/>
        </w:rPr>
        <w:t xml:space="preserve">, включая охотничьи угодья № 1 «</w:t>
      </w:r>
      <w:r>
        <w:rPr>
          <w:rFonts w:ascii="Times New Roman" w:hAnsi="Times New Roman"/>
          <w:sz w:val="28"/>
        </w:rPr>
        <w:t xml:space="preserve">Паклаваям</w:t>
      </w:r>
      <w:r>
        <w:rPr>
          <w:rFonts w:ascii="Times New Roman" w:hAnsi="Times New Roman"/>
          <w:sz w:val="28"/>
        </w:rPr>
        <w:t xml:space="preserve">», № 17 «</w:t>
      </w:r>
      <w:r>
        <w:rPr>
          <w:rFonts w:ascii="Times New Roman" w:hAnsi="Times New Roman"/>
          <w:sz w:val="28"/>
        </w:rPr>
        <w:t xml:space="preserve">Кичи</w:t>
      </w:r>
      <w:r>
        <w:rPr>
          <w:rFonts w:ascii="Times New Roman" w:hAnsi="Times New Roman"/>
          <w:sz w:val="28"/>
        </w:rPr>
        <w:t xml:space="preserve">гинский</w:t>
      </w:r>
      <w:r>
        <w:rPr>
          <w:rFonts w:ascii="Times New Roman" w:hAnsi="Times New Roman"/>
          <w:sz w:val="28"/>
        </w:rPr>
        <w:t xml:space="preserve">», № </w:t>
      </w:r>
      <w:r>
        <w:rPr>
          <w:rFonts w:ascii="Times New Roman" w:hAnsi="Times New Roman"/>
          <w:sz w:val="28"/>
        </w:rPr>
        <w:t xml:space="preserve">18 «</w:t>
      </w:r>
      <w:r>
        <w:rPr>
          <w:rFonts w:ascii="Times New Roman" w:hAnsi="Times New Roman"/>
          <w:sz w:val="28"/>
        </w:rPr>
        <w:t xml:space="preserve">Валоваямский</w:t>
      </w:r>
      <w:r>
        <w:rPr>
          <w:rFonts w:ascii="Times New Roman" w:hAnsi="Times New Roman"/>
          <w:sz w:val="28"/>
        </w:rPr>
        <w:t xml:space="preserve">», № 19 «Охотский», № 20 «</w:t>
      </w:r>
      <w:r>
        <w:rPr>
          <w:rFonts w:ascii="Times New Roman" w:hAnsi="Times New Roman"/>
          <w:sz w:val="28"/>
        </w:rPr>
        <w:t xml:space="preserve">Парапольское</w:t>
      </w:r>
      <w:r>
        <w:rPr>
          <w:rFonts w:ascii="Times New Roman" w:hAnsi="Times New Roman"/>
          <w:sz w:val="28"/>
        </w:rPr>
        <w:t xml:space="preserve">»), </w:t>
      </w:r>
      <w:r>
        <w:rPr>
          <w:rFonts w:ascii="Times New Roman" w:hAnsi="Times New Roman"/>
          <w:sz w:val="28"/>
        </w:rPr>
        <w:t xml:space="preserve">Тигильского</w:t>
      </w:r>
      <w:r>
        <w:rPr>
          <w:rFonts w:ascii="Times New Roman" w:hAnsi="Times New Roman"/>
          <w:sz w:val="28"/>
        </w:rPr>
        <w:t xml:space="preserve"> (южнее границы речного бассейна реки Тигиль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Усть-Хайрюзовский</w:t>
      </w:r>
      <w:r>
        <w:rPr>
          <w:rFonts w:ascii="Times New Roman" w:hAnsi="Times New Roman"/>
          <w:sz w:val="28"/>
        </w:rPr>
        <w:t xml:space="preserve">», «Медвежий»,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Омгонский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«Сопочный-</w:t>
      </w:r>
      <w:r>
        <w:rPr>
          <w:rFonts w:ascii="Times New Roman" w:hAnsi="Times New Roman"/>
          <w:sz w:val="28"/>
        </w:rPr>
        <w:t xml:space="preserve">Ушхский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Куэченский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Морошечный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Ахльчинский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Ичинский-Кешумный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, «</w:t>
      </w:r>
      <w:r>
        <w:rPr>
          <w:rFonts w:ascii="Times New Roman" w:hAnsi="Times New Roman"/>
          <w:sz w:val="28"/>
        </w:rPr>
        <w:t xml:space="preserve">Хлебненско-Текловаямский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Утхолок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Морошечный</w:t>
      </w:r>
      <w:r>
        <w:rPr>
          <w:rFonts w:ascii="Times New Roman" w:hAnsi="Times New Roman"/>
          <w:sz w:val="28"/>
        </w:rPr>
        <w:t xml:space="preserve">», «Мыс </w:t>
      </w:r>
      <w:r>
        <w:rPr>
          <w:rFonts w:ascii="Times New Roman" w:hAnsi="Times New Roman"/>
          <w:sz w:val="28"/>
        </w:rPr>
        <w:t xml:space="preserve">Амбон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Быстринский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Верхне</w:t>
      </w:r>
      <w:r>
        <w:rPr>
          <w:rFonts w:ascii="Times New Roman" w:hAnsi="Times New Roman"/>
          <w:sz w:val="28"/>
        </w:rPr>
        <w:t xml:space="preserve"> 1-й Белоголовый»,</w:t>
      </w:r>
      <w:r>
        <w:rPr>
          <w:rFonts w:ascii="Times New Roman" w:hAnsi="Times New Roman"/>
          <w:sz w:val="28"/>
        </w:rPr>
        <w:t xml:space="preserve"> «Река Тихая», «</w:t>
      </w:r>
      <w:r>
        <w:rPr>
          <w:rFonts w:ascii="Times New Roman" w:hAnsi="Times New Roman"/>
          <w:sz w:val="28"/>
        </w:rPr>
        <w:t xml:space="preserve">Этопаньский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Ковранский</w:t>
      </w:r>
      <w:r>
        <w:rPr>
          <w:rFonts w:ascii="Times New Roman" w:hAnsi="Times New Roman"/>
          <w:sz w:val="28"/>
        </w:rPr>
        <w:t xml:space="preserve">», «Константиновский», «Верхне-</w:t>
      </w:r>
      <w:r>
        <w:rPr>
          <w:rFonts w:ascii="Times New Roman" w:hAnsi="Times New Roman"/>
          <w:sz w:val="28"/>
        </w:rPr>
        <w:t xml:space="preserve">Чананка</w:t>
      </w:r>
      <w:r>
        <w:rPr>
          <w:rFonts w:ascii="Times New Roman" w:hAnsi="Times New Roman"/>
          <w:sz w:val="28"/>
        </w:rPr>
        <w:t xml:space="preserve">»,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Эмгучанский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«Белоголовая», «1-ый Белоголовый», «Вулкан </w:t>
      </w:r>
      <w:r>
        <w:rPr>
          <w:rFonts w:ascii="Times New Roman" w:hAnsi="Times New Roman"/>
          <w:sz w:val="28"/>
        </w:rPr>
        <w:t xml:space="preserve">Ичинский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Кулевацккий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) районов Камчатского края – с 1 мая по 10 мая; 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 xml:space="preserve">зона III: </w:t>
      </w:r>
      <w:r>
        <w:rPr>
          <w:rFonts w:ascii="Times New Roman" w:hAnsi="Times New Roman"/>
          <w:sz w:val="28"/>
        </w:rPr>
        <w:t xml:space="preserve">в охотничьих угодьях, расположенных</w:t>
      </w:r>
      <w:r>
        <w:rPr>
          <w:rFonts w:ascii="Times New Roman" w:hAnsi="Times New Roman"/>
          <w:sz w:val="28"/>
        </w:rPr>
        <w:t xml:space="preserve"> в границах </w:t>
      </w:r>
      <w:r>
        <w:rPr>
          <w:rFonts w:ascii="Times New Roman" w:hAnsi="Times New Roman"/>
          <w:sz w:val="28"/>
        </w:rPr>
        <w:t xml:space="preserve">Олюторского (все охотничьи угодья)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Карагинского</w:t>
      </w:r>
      <w:r>
        <w:rPr>
          <w:rFonts w:ascii="Times New Roman" w:hAnsi="Times New Roman"/>
          <w:sz w:val="28"/>
        </w:rPr>
        <w:t xml:space="preserve"> (южнее</w:t>
      </w:r>
      <w:r>
        <w:rPr>
          <w:rFonts w:ascii="Times New Roman" w:hAnsi="Times New Roman"/>
          <w:sz w:val="28"/>
        </w:rPr>
        <w:t xml:space="preserve"> водораздела рек </w:t>
      </w:r>
      <w:r>
        <w:rPr>
          <w:rFonts w:ascii="Times New Roman" w:hAnsi="Times New Roman"/>
          <w:sz w:val="28"/>
        </w:rPr>
        <w:t xml:space="preserve">Кичига-Паклаваям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Кичига-Сигаиэктап</w:t>
      </w:r>
      <w:r>
        <w:rPr>
          <w:rFonts w:ascii="Times New Roman" w:hAnsi="Times New Roman"/>
          <w:sz w:val="28"/>
        </w:rPr>
        <w:t xml:space="preserve">, включая охотничьи угодья № 2 «</w:t>
      </w:r>
      <w:r>
        <w:rPr>
          <w:rFonts w:ascii="Times New Roman" w:hAnsi="Times New Roman"/>
          <w:sz w:val="28"/>
        </w:rPr>
        <w:t xml:space="preserve">Тымлат</w:t>
      </w:r>
      <w:r>
        <w:rPr>
          <w:rFonts w:ascii="Times New Roman" w:hAnsi="Times New Roman"/>
          <w:sz w:val="28"/>
        </w:rPr>
        <w:t xml:space="preserve">», № 3 «</w:t>
      </w:r>
      <w:r>
        <w:rPr>
          <w:rFonts w:ascii="Times New Roman" w:hAnsi="Times New Roman"/>
          <w:sz w:val="28"/>
        </w:rPr>
        <w:t xml:space="preserve">Карага</w:t>
      </w:r>
      <w:r>
        <w:rPr>
          <w:rFonts w:ascii="Times New Roman" w:hAnsi="Times New Roman"/>
          <w:sz w:val="28"/>
        </w:rPr>
        <w:t xml:space="preserve">», № 4 «</w:t>
      </w:r>
      <w:r>
        <w:rPr>
          <w:rFonts w:ascii="Times New Roman" w:hAnsi="Times New Roman"/>
          <w:sz w:val="28"/>
        </w:rPr>
        <w:t xml:space="preserve">Макаровка</w:t>
      </w:r>
      <w:r>
        <w:rPr>
          <w:rFonts w:ascii="Times New Roman" w:hAnsi="Times New Roman"/>
          <w:sz w:val="28"/>
        </w:rPr>
        <w:t xml:space="preserve">», № 5 «</w:t>
      </w:r>
      <w:r>
        <w:rPr>
          <w:rFonts w:ascii="Times New Roman" w:hAnsi="Times New Roman"/>
          <w:sz w:val="28"/>
        </w:rPr>
        <w:t xml:space="preserve">Карагинское</w:t>
      </w:r>
      <w:r>
        <w:rPr>
          <w:rFonts w:ascii="Times New Roman" w:hAnsi="Times New Roman"/>
          <w:sz w:val="28"/>
        </w:rPr>
        <w:t xml:space="preserve">», № 7 «Рысь», № 8 «</w:t>
      </w:r>
      <w:r>
        <w:rPr>
          <w:rFonts w:ascii="Times New Roman" w:hAnsi="Times New Roman"/>
          <w:sz w:val="28"/>
        </w:rPr>
        <w:t xml:space="preserve">Ука</w:t>
      </w:r>
      <w:r>
        <w:rPr>
          <w:rFonts w:ascii="Times New Roman" w:hAnsi="Times New Roman"/>
          <w:sz w:val="28"/>
        </w:rPr>
        <w:t xml:space="preserve">», № 9 «</w:t>
      </w:r>
      <w:r>
        <w:rPr>
          <w:rFonts w:ascii="Times New Roman" w:hAnsi="Times New Roman"/>
          <w:sz w:val="28"/>
        </w:rPr>
        <w:t xml:space="preserve">Селинг</w:t>
      </w:r>
      <w:r>
        <w:rPr>
          <w:rFonts w:ascii="Times New Roman" w:hAnsi="Times New Roman"/>
          <w:sz w:val="28"/>
        </w:rPr>
        <w:t xml:space="preserve">», № 11 «</w:t>
      </w:r>
      <w:r>
        <w:rPr>
          <w:rFonts w:ascii="Times New Roman" w:hAnsi="Times New Roman"/>
          <w:sz w:val="28"/>
        </w:rPr>
        <w:t xml:space="preserve">Маламваям</w:t>
      </w:r>
      <w:r>
        <w:rPr>
          <w:rFonts w:ascii="Times New Roman" w:hAnsi="Times New Roman"/>
          <w:sz w:val="28"/>
        </w:rPr>
        <w:t xml:space="preserve">», № 12 «Ольховый», № 13 «Озерновский», № 15 «</w:t>
      </w:r>
      <w:r>
        <w:rPr>
          <w:rFonts w:ascii="Times New Roman" w:hAnsi="Times New Roman"/>
          <w:sz w:val="28"/>
        </w:rPr>
        <w:t xml:space="preserve">Ивашкинский</w:t>
      </w:r>
      <w:r>
        <w:rPr>
          <w:rFonts w:ascii="Times New Roman" w:hAnsi="Times New Roman"/>
          <w:sz w:val="28"/>
        </w:rPr>
        <w:t xml:space="preserve">», №</w:t>
      </w:r>
      <w:r>
        <w:rPr>
          <w:rFonts w:ascii="Times New Roman" w:hAnsi="Times New Roman"/>
          <w:sz w:val="28"/>
        </w:rPr>
        <w:t xml:space="preserve"> 16 «</w:t>
      </w:r>
      <w:r>
        <w:rPr>
          <w:rFonts w:ascii="Times New Roman" w:hAnsi="Times New Roman"/>
          <w:sz w:val="28"/>
        </w:rPr>
        <w:t xml:space="preserve">Дранкинский</w:t>
      </w:r>
      <w:r>
        <w:rPr>
          <w:rFonts w:ascii="Times New Roman" w:hAnsi="Times New Roman"/>
          <w:sz w:val="28"/>
        </w:rPr>
        <w:t xml:space="preserve">», № 22 «</w:t>
      </w:r>
      <w:r>
        <w:rPr>
          <w:rFonts w:ascii="Times New Roman" w:hAnsi="Times New Roman"/>
          <w:sz w:val="28"/>
        </w:rPr>
        <w:t xml:space="preserve">Ивашкинский</w:t>
      </w:r>
      <w:r>
        <w:rPr>
          <w:rFonts w:ascii="Times New Roman" w:hAnsi="Times New Roman"/>
          <w:sz w:val="28"/>
        </w:rPr>
        <w:t xml:space="preserve"> – Приморский», № 23 «</w:t>
      </w:r>
      <w:r>
        <w:rPr>
          <w:rFonts w:ascii="Times New Roman" w:hAnsi="Times New Roman"/>
          <w:sz w:val="28"/>
        </w:rPr>
        <w:t xml:space="preserve">Карагинский</w:t>
      </w:r>
      <w:r>
        <w:rPr>
          <w:rFonts w:ascii="Times New Roman" w:hAnsi="Times New Roman"/>
          <w:sz w:val="28"/>
        </w:rPr>
        <w:t xml:space="preserve"> остров», № 24 «Лагуна Казарок») района Камчатского края – с 14 мая по 23 мая;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 xml:space="preserve">зона IY: </w:t>
      </w:r>
      <w:r>
        <w:rPr>
          <w:rFonts w:ascii="Times New Roman" w:hAnsi="Times New Roman"/>
          <w:sz w:val="28"/>
        </w:rPr>
        <w:t xml:space="preserve">в охотничьих угодьях, расположенных в границах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-Камчатского (восточнее реки </w:t>
      </w:r>
      <w:r>
        <w:rPr>
          <w:rFonts w:ascii="Times New Roman" w:hAnsi="Times New Roman"/>
          <w:sz w:val="28"/>
        </w:rPr>
        <w:t xml:space="preserve">Двухюрточная</w:t>
      </w:r>
      <w:r>
        <w:rPr>
          <w:rFonts w:ascii="Times New Roman" w:hAnsi="Times New Roman"/>
          <w:sz w:val="28"/>
        </w:rPr>
        <w:t xml:space="preserve">, включая охо</w:t>
      </w:r>
      <w:r>
        <w:rPr>
          <w:rFonts w:ascii="Times New Roman" w:hAnsi="Times New Roman"/>
          <w:sz w:val="28"/>
        </w:rPr>
        <w:t xml:space="preserve">тничьи угодья № 1 «Еловые дали»,  </w:t>
      </w:r>
      <w:r>
        <w:rPr>
          <w:rFonts w:ascii="Times New Roman" w:hAnsi="Times New Roman"/>
          <w:sz w:val="28"/>
        </w:rPr>
        <w:t xml:space="preserve">№ 2 «Кура», № 4 «Озерная», № 5 «Левая», № 10 «Юрьевский», № 11 «Алтын», № 12 «Верхняя </w:t>
      </w:r>
      <w:r>
        <w:rPr>
          <w:rFonts w:ascii="Times New Roman" w:hAnsi="Times New Roman"/>
          <w:sz w:val="28"/>
        </w:rPr>
        <w:t xml:space="preserve">Двухюрточная</w:t>
      </w:r>
      <w:r>
        <w:rPr>
          <w:rFonts w:ascii="Times New Roman" w:hAnsi="Times New Roman"/>
          <w:sz w:val="28"/>
        </w:rPr>
        <w:t xml:space="preserve">», № 13 «</w:t>
      </w:r>
      <w:r>
        <w:rPr>
          <w:rFonts w:ascii="Times New Roman" w:hAnsi="Times New Roman"/>
          <w:sz w:val="28"/>
        </w:rPr>
        <w:t xml:space="preserve">Харчинский</w:t>
      </w:r>
      <w:r>
        <w:rPr>
          <w:rFonts w:ascii="Times New Roman" w:hAnsi="Times New Roman"/>
          <w:sz w:val="28"/>
        </w:rPr>
        <w:t xml:space="preserve">», № 16 «Каменское», № 17 «Листвяги», № 18 «</w:t>
      </w:r>
      <w:r>
        <w:rPr>
          <w:rFonts w:ascii="Times New Roman" w:hAnsi="Times New Roman"/>
          <w:sz w:val="28"/>
        </w:rPr>
        <w:t xml:space="preserve">Ильчинец</w:t>
      </w:r>
      <w:r>
        <w:rPr>
          <w:rFonts w:ascii="Times New Roman" w:hAnsi="Times New Roman"/>
          <w:sz w:val="28"/>
        </w:rPr>
        <w:t xml:space="preserve">», № 19 «Новиковский», № 20 «Радуга», № 21 «</w:t>
      </w:r>
      <w:r>
        <w:rPr>
          <w:rFonts w:ascii="Times New Roman" w:hAnsi="Times New Roman"/>
          <w:sz w:val="28"/>
        </w:rPr>
        <w:t xml:space="preserve">Хални</w:t>
      </w:r>
      <w:r>
        <w:rPr>
          <w:rFonts w:ascii="Times New Roman" w:hAnsi="Times New Roman"/>
          <w:sz w:val="28"/>
        </w:rPr>
        <w:t xml:space="preserve">ца</w:t>
      </w:r>
      <w:r>
        <w:rPr>
          <w:rFonts w:ascii="Times New Roman" w:hAnsi="Times New Roman"/>
          <w:sz w:val="28"/>
        </w:rPr>
        <w:t xml:space="preserve">», № 23 «Столбовое», № 25 «</w:t>
      </w:r>
      <w:r>
        <w:rPr>
          <w:rFonts w:ascii="Times New Roman" w:hAnsi="Times New Roman"/>
          <w:sz w:val="28"/>
        </w:rPr>
        <w:t xml:space="preserve">Култучный</w:t>
      </w:r>
      <w:r>
        <w:rPr>
          <w:rFonts w:ascii="Times New Roman" w:hAnsi="Times New Roman"/>
          <w:sz w:val="28"/>
        </w:rPr>
        <w:t xml:space="preserve">», № 33 «</w:t>
      </w:r>
      <w:r>
        <w:rPr>
          <w:rFonts w:ascii="Times New Roman" w:hAnsi="Times New Roman"/>
          <w:sz w:val="28"/>
        </w:rPr>
        <w:t xml:space="preserve">Хапица</w:t>
      </w:r>
      <w:r>
        <w:rPr>
          <w:rFonts w:ascii="Times New Roman" w:hAnsi="Times New Roman"/>
          <w:sz w:val="28"/>
        </w:rPr>
        <w:t xml:space="preserve">», № 35 «</w:t>
      </w:r>
      <w:r>
        <w:rPr>
          <w:rFonts w:ascii="Times New Roman" w:hAnsi="Times New Roman"/>
          <w:sz w:val="28"/>
        </w:rPr>
        <w:t xml:space="preserve">Ажабачье</w:t>
      </w:r>
      <w:r>
        <w:rPr>
          <w:rFonts w:ascii="Times New Roman" w:hAnsi="Times New Roman"/>
          <w:sz w:val="28"/>
        </w:rPr>
        <w:t xml:space="preserve">», № </w:t>
      </w:r>
      <w:r>
        <w:rPr>
          <w:rFonts w:ascii="Times New Roman" w:hAnsi="Times New Roman"/>
          <w:sz w:val="28"/>
        </w:rPr>
        <w:t xml:space="preserve">36 «Шубертовский», № 37 «Пятая», № 38 «Быстрая», № 39 «</w:t>
      </w:r>
      <w:r>
        <w:rPr>
          <w:rFonts w:ascii="Times New Roman" w:hAnsi="Times New Roman"/>
          <w:sz w:val="28"/>
        </w:rPr>
        <w:t xml:space="preserve">Андриановка</w:t>
      </w:r>
      <w:r>
        <w:rPr>
          <w:rFonts w:ascii="Times New Roman" w:hAnsi="Times New Roman"/>
          <w:sz w:val="28"/>
        </w:rPr>
        <w:t xml:space="preserve">», № 40 «Сторож», № 41 «</w:t>
      </w:r>
      <w:r>
        <w:rPr>
          <w:rFonts w:ascii="Times New Roman" w:hAnsi="Times New Roman"/>
          <w:sz w:val="28"/>
        </w:rPr>
        <w:t xml:space="preserve">Чажма</w:t>
      </w:r>
      <w:r>
        <w:rPr>
          <w:rFonts w:ascii="Times New Roman" w:hAnsi="Times New Roman"/>
          <w:sz w:val="28"/>
        </w:rPr>
        <w:t xml:space="preserve">», № 43 «Ключевской», № 46 «Восточный»), </w:t>
      </w:r>
      <w:r>
        <w:rPr>
          <w:rFonts w:ascii="Times New Roman" w:hAnsi="Times New Roman"/>
          <w:sz w:val="28"/>
        </w:rPr>
        <w:t xml:space="preserve">Тигильского</w:t>
      </w:r>
      <w:r>
        <w:rPr>
          <w:rFonts w:ascii="Times New Roman" w:hAnsi="Times New Roman"/>
          <w:sz w:val="28"/>
        </w:rPr>
        <w:t xml:space="preserve"> (речной бассейн реки Тигиль и тер</w:t>
      </w:r>
      <w:r>
        <w:rPr>
          <w:rFonts w:ascii="Times New Roman" w:hAnsi="Times New Roman"/>
          <w:sz w:val="28"/>
        </w:rPr>
        <w:t xml:space="preserve">ритория севернее границы речного бассейна реки Тигиль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  <w:t xml:space="preserve"> «Центральный», «</w:t>
      </w:r>
      <w:r>
        <w:rPr>
          <w:rFonts w:ascii="Times New Roman" w:hAnsi="Times New Roman"/>
          <w:sz w:val="28"/>
        </w:rPr>
        <w:t xml:space="preserve">Калгауч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Тигильское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Амалнен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Седанкинский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Шлен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Тевинское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Паланское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Кокыртинский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Кинкильский</w:t>
      </w:r>
      <w:r>
        <w:rPr>
          <w:rFonts w:ascii="Times New Roman" w:hAnsi="Times New Roman"/>
          <w:sz w:val="28"/>
        </w:rPr>
        <w:t xml:space="preserve">», «Нижне-</w:t>
      </w:r>
      <w:r>
        <w:rPr>
          <w:rFonts w:ascii="Times New Roman" w:hAnsi="Times New Roman"/>
          <w:sz w:val="28"/>
        </w:rPr>
        <w:t xml:space="preserve">Кахтанинский</w:t>
      </w:r>
      <w:r>
        <w:rPr>
          <w:rFonts w:ascii="Times New Roman" w:hAnsi="Times New Roman"/>
          <w:sz w:val="28"/>
        </w:rPr>
        <w:t xml:space="preserve">», «Верхне-</w:t>
      </w:r>
      <w:r>
        <w:rPr>
          <w:rFonts w:ascii="Times New Roman" w:hAnsi="Times New Roman"/>
          <w:sz w:val="28"/>
        </w:rPr>
        <w:t xml:space="preserve">Кахтанинский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Качылынский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Жиловой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Энпа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Усть-Воямпольский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Атьавайский-Мутновский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Кангора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Шишель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Аманинский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, «</w:t>
      </w:r>
      <w:r>
        <w:rPr>
          <w:rFonts w:ascii="Times New Roman" w:hAnsi="Times New Roman"/>
          <w:sz w:val="28"/>
        </w:rPr>
        <w:t xml:space="preserve">Уйвеемский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Ватапваямский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Пенсепель</w:t>
      </w:r>
      <w:r>
        <w:rPr>
          <w:rFonts w:ascii="Times New Roman" w:hAnsi="Times New Roman"/>
          <w:sz w:val="28"/>
        </w:rPr>
        <w:t xml:space="preserve">», «Нижне-</w:t>
      </w:r>
      <w:r>
        <w:rPr>
          <w:rFonts w:ascii="Times New Roman" w:hAnsi="Times New Roman"/>
          <w:sz w:val="28"/>
        </w:rPr>
        <w:t xml:space="preserve">Кинкильский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Хромушка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) районов Камчатского края – с 5 мая по 14 мая;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 xml:space="preserve">зона Y: </w:t>
      </w:r>
      <w:r>
        <w:rPr>
          <w:rFonts w:ascii="Times New Roman" w:hAnsi="Times New Roman"/>
          <w:sz w:val="28"/>
        </w:rPr>
        <w:t xml:space="preserve">в охотничьих угодьях </w:t>
      </w:r>
      <w:r>
        <w:rPr>
          <w:rFonts w:ascii="Times New Roman" w:hAnsi="Times New Roman"/>
          <w:sz w:val="28"/>
        </w:rPr>
        <w:t xml:space="preserve">Пенжинского</w:t>
      </w:r>
      <w:r>
        <w:rPr>
          <w:rFonts w:ascii="Times New Roman" w:hAnsi="Times New Roman"/>
          <w:sz w:val="28"/>
        </w:rPr>
        <w:t xml:space="preserve"> района Камчатского края – с 8 мая по 17 мая;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>
        <w:rPr>
          <w:rFonts w:ascii="Times New Roman" w:hAnsi="Times New Roman"/>
          <w:sz w:val="28"/>
        </w:rPr>
        <w:t xml:space="preserve">зона YI: </w:t>
      </w:r>
      <w:r>
        <w:rPr>
          <w:rFonts w:ascii="Times New Roman" w:hAnsi="Times New Roman"/>
          <w:sz w:val="28"/>
        </w:rPr>
        <w:t xml:space="preserve">в охотничьих угодьях, расположенных в границах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-Камчатского (охотни</w:t>
      </w:r>
      <w:r>
        <w:rPr>
          <w:rFonts w:ascii="Times New Roman" w:hAnsi="Times New Roman"/>
          <w:sz w:val="28"/>
        </w:rPr>
        <w:t xml:space="preserve">чье угодье № 44 «Озеро Нерпичье») района Камчатского края – со второй субботы мая продолжительностью 10 календарных дней;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</w:t>
      </w:r>
      <w:r>
        <w:rPr>
          <w:rFonts w:ascii="Times New Roman" w:hAnsi="Times New Roman"/>
          <w:sz w:val="28"/>
        </w:rPr>
        <w:t xml:space="preserve">зона YII: </w:t>
      </w:r>
      <w:r>
        <w:rPr>
          <w:rFonts w:ascii="Times New Roman" w:hAnsi="Times New Roman"/>
          <w:sz w:val="28"/>
        </w:rPr>
        <w:t xml:space="preserve">в охотничьих угодьях, расположенных в границах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Елизовского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-Большерецкого (к северу от русел рек Большая - Плотникова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  <w:t xml:space="preserve"> «Банный», «</w:t>
      </w:r>
      <w:r>
        <w:rPr>
          <w:rFonts w:ascii="Times New Roman" w:hAnsi="Times New Roman"/>
          <w:sz w:val="28"/>
        </w:rPr>
        <w:t xml:space="preserve">Апачинский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Ипельский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Хребтовский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Карымчина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Макеевский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Саванский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Опалинский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Верхнеопалинский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Хетикский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Голыгинский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Верхнеголыгинский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Кузанекский</w:t>
      </w:r>
      <w:r>
        <w:rPr>
          <w:rFonts w:ascii="Times New Roman" w:hAnsi="Times New Roman"/>
          <w:sz w:val="28"/>
        </w:rPr>
        <w:t xml:space="preserve">», «Малый </w:t>
      </w:r>
      <w:r>
        <w:rPr>
          <w:rFonts w:ascii="Times New Roman" w:hAnsi="Times New Roman"/>
          <w:sz w:val="28"/>
        </w:rPr>
        <w:t xml:space="preserve">Ипельский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«Приморский» - </w:t>
      </w:r>
      <w:r>
        <w:rPr>
          <w:rFonts w:ascii="Times New Roman" w:hAnsi="Times New Roman"/>
          <w:sz w:val="28"/>
        </w:rPr>
        <w:t xml:space="preserve">ле</w:t>
      </w:r>
      <w:r>
        <w:rPr>
          <w:rFonts w:ascii="Times New Roman" w:hAnsi="Times New Roman"/>
          <w:sz w:val="28"/>
        </w:rPr>
        <w:t xml:space="preserve">вобережье</w:t>
      </w:r>
      <w:r>
        <w:rPr>
          <w:rFonts w:ascii="Times New Roman" w:hAnsi="Times New Roman"/>
          <w:sz w:val="28"/>
        </w:rPr>
        <w:t xml:space="preserve">) районов</w:t>
      </w:r>
      <w:r>
        <w:rPr>
          <w:rFonts w:ascii="Times New Roman" w:hAnsi="Times New Roman"/>
          <w:sz w:val="28"/>
        </w:rPr>
        <w:t xml:space="preserve"> Камчатского края – с 29 апреля по 8 мая;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</w:t>
      </w:r>
      <w:r>
        <w:rPr>
          <w:rFonts w:ascii="Times New Roman" w:hAnsi="Times New Roman"/>
          <w:sz w:val="28"/>
        </w:rPr>
        <w:t xml:space="preserve">боровую дичь</w:t>
      </w:r>
      <w:r>
        <w:rPr>
          <w:rFonts w:ascii="Times New Roman" w:hAnsi="Times New Roman"/>
          <w:sz w:val="28"/>
        </w:rPr>
        <w:t xml:space="preserve">: в зонах I-YII (</w:t>
      </w:r>
      <w:r>
        <w:rPr>
          <w:rFonts w:ascii="Times New Roman" w:hAnsi="Times New Roman"/>
          <w:sz w:val="28"/>
        </w:rPr>
        <w:t xml:space="preserve">охотничьих</w:t>
      </w:r>
      <w:r>
        <w:rPr>
          <w:rFonts w:ascii="Times New Roman" w:hAnsi="Times New Roman"/>
          <w:sz w:val="28"/>
        </w:rPr>
        <w:t xml:space="preserve"> угодьях, указанных в подпунктах «а» - «ж» пункта 3.3 настоящего постановления) – со второй субботы мая продолжительностью 10 календарных дней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 селезней уток с использованием живых подсадных (манных) уток </w:t>
      </w:r>
      <w:r>
        <w:rPr>
          <w:rFonts w:ascii="Times New Roman" w:hAnsi="Times New Roman"/>
          <w:sz w:val="28"/>
        </w:rPr>
        <w:t xml:space="preserve">–</w:t>
      </w:r>
      <w:r>
        <w:rPr>
          <w:rFonts w:ascii="Times New Roman" w:hAnsi="Times New Roman"/>
          <w:sz w:val="28"/>
        </w:rPr>
        <w:t xml:space="preserve"> со второй субботы апреля по 17 мая.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Иные сроки охоты на пернатую дичь: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 водоплавающую дичь </w:t>
      </w:r>
      <w:r>
        <w:rPr>
          <w:rFonts w:ascii="Times New Roman" w:hAnsi="Times New Roman"/>
          <w:sz w:val="28"/>
        </w:rPr>
        <w:t xml:space="preserve">–</w:t>
      </w:r>
      <w:r>
        <w:rPr>
          <w:rFonts w:ascii="Times New Roman" w:hAnsi="Times New Roman"/>
          <w:sz w:val="28"/>
        </w:rPr>
        <w:t xml:space="preserve"> с первой субботы сентября сроком на 90 календарных дней;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боровую дичь (глухари, белая и тундряная куропатки) </w:t>
      </w:r>
      <w:r>
        <w:rPr>
          <w:rFonts w:ascii="Times New Roman" w:hAnsi="Times New Roman"/>
          <w:sz w:val="28"/>
        </w:rPr>
        <w:t xml:space="preserve">–</w:t>
      </w:r>
      <w:r>
        <w:rPr>
          <w:rFonts w:ascii="Times New Roman" w:hAnsi="Times New Roman"/>
          <w:sz w:val="28"/>
        </w:rPr>
        <w:t xml:space="preserve"> с четвертой субботы августа по 28 (29) февраля;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 болотно-луговую дичь (бекасы, турухтан, тулес, улиты, большой веретенник, средний кроншнеп, мородунка, камнешарка) </w:t>
      </w:r>
      <w:r>
        <w:rPr>
          <w:rFonts w:ascii="Times New Roman" w:hAnsi="Times New Roman"/>
          <w:sz w:val="28"/>
        </w:rPr>
        <w:t xml:space="preserve">–</w:t>
      </w:r>
      <w:r>
        <w:rPr>
          <w:rFonts w:ascii="Times New Roman" w:hAnsi="Times New Roman"/>
          <w:sz w:val="28"/>
        </w:rPr>
        <w:t xml:space="preserve"> в период с третьей субботы августа сроком на 90 календарных дней.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Сроки охоты на пернатую дичь с подружейными собаками (островными и континентальными легавыми собаками, </w:t>
      </w:r>
      <w:r>
        <w:rPr>
          <w:rFonts w:ascii="Times New Roman" w:hAnsi="Times New Roman"/>
          <w:sz w:val="28"/>
        </w:rPr>
        <w:t xml:space="preserve">ретриверами</w:t>
      </w:r>
      <w:r>
        <w:rPr>
          <w:rFonts w:ascii="Times New Roman" w:hAnsi="Times New Roman"/>
          <w:sz w:val="28"/>
        </w:rPr>
        <w:t xml:space="preserve">, спаниелями), имеющими справку или свидетельство о происхождении: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 болотно-луговую дичь (бекасы, турухтан, тулес, улиты, большой веретенник, средний кроншнеп, мородунка, камнешарка) </w:t>
      </w:r>
      <w:r>
        <w:rPr>
          <w:rFonts w:ascii="Times New Roman" w:hAnsi="Times New Roman"/>
          <w:sz w:val="28"/>
        </w:rPr>
        <w:t xml:space="preserve">–</w:t>
      </w:r>
      <w:r>
        <w:rPr>
          <w:rFonts w:ascii="Times New Roman" w:hAnsi="Times New Roman"/>
          <w:sz w:val="28"/>
        </w:rPr>
        <w:t xml:space="preserve"> в период со второй субботы августа сроком на 120 календарных дней;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боровую дичь (глухари, белая и тундряная куропатки) </w:t>
      </w:r>
      <w:r>
        <w:rPr>
          <w:rFonts w:ascii="Times New Roman" w:hAnsi="Times New Roman"/>
          <w:sz w:val="28"/>
        </w:rPr>
        <w:t xml:space="preserve">–</w:t>
      </w:r>
      <w:r>
        <w:rPr>
          <w:rFonts w:ascii="Times New Roman" w:hAnsi="Times New Roman"/>
          <w:sz w:val="28"/>
        </w:rPr>
        <w:t xml:space="preserve"> в период с четвертой субботы августа по 28 (29) февраля;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 водоплавающую дичь (гуси, утки) </w:t>
      </w:r>
      <w:r>
        <w:rPr>
          <w:rFonts w:ascii="Times New Roman" w:hAnsi="Times New Roman"/>
          <w:sz w:val="28"/>
        </w:rPr>
        <w:t xml:space="preserve">–</w:t>
      </w:r>
      <w:r>
        <w:rPr>
          <w:rFonts w:ascii="Times New Roman" w:hAnsi="Times New Roman"/>
          <w:sz w:val="28"/>
        </w:rPr>
        <w:t xml:space="preserve"> в период с первой субботы сентября по 31 декабря.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Запрещается применение петель для добычи копытных животных, медведей, пушных животных, пернатой дичи, за исключением применения петель для отлова волка (петлями, изготовленными из многожильного металлического троса диаметром не более 4 милли</w:t>
      </w:r>
      <w:r>
        <w:rPr>
          <w:rFonts w:ascii="Times New Roman" w:hAnsi="Times New Roman"/>
          <w:sz w:val="28"/>
        </w:rPr>
        <w:t xml:space="preserve">метров и общей длиной троса не более 150 сантиметров) и зайца-беляка (петлями, изготовленными из одножильной металлической проволоки диаметром не более 1,1 миллиметра и общей длиной проволоки не более 150 сантиметров) в случае осуществления промысловой охо</w:t>
      </w:r>
      <w:r>
        <w:rPr>
          <w:rFonts w:ascii="Times New Roman" w:hAnsi="Times New Roman"/>
          <w:sz w:val="28"/>
        </w:rPr>
        <w:t xml:space="preserve">ты и охоты в целях регулирования численности охотничьих ресурсов на территории Камчатского края и осуществления любительской и спортивной охоты на территории Корякского округа, способами, которые исключают причинение вреда другим объектам животного мира.».</w:t>
      </w:r>
      <w:r>
        <w:rPr>
          <w:rFonts w:ascii="Times New Roman" w:hAnsi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)"/>
      <w:lvlJc w:val="right"/>
      <w:pPr>
        <w:ind w:left="2160" w:hanging="360"/>
      </w:pPr>
    </w:lvl>
    <w:lvl w:ilvl="3">
      <w:start w:val="1"/>
      <w:numFmt w:val="russianLow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)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)"/>
      <w:lvlJc w:val="right"/>
      <w:pPr>
        <w:ind w:left="4320" w:hanging="360"/>
      </w:pPr>
    </w:lvl>
    <w:lvl w:ilvl="6">
      <w:start w:val="1"/>
      <w:numFmt w:val="russianLower"/>
      <w:isLgl w:val="false"/>
      <w:suff w:val="tab"/>
      <w:lvlText w:val="%7)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)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)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4"/>
    <w:link w:val="65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4"/>
    <w:link w:val="67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4"/>
    <w:link w:val="63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4"/>
    <w:link w:val="67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4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4"/>
    <w:link w:val="670"/>
    <w:uiPriority w:val="10"/>
    <w:rPr>
      <w:sz w:val="48"/>
      <w:szCs w:val="48"/>
    </w:rPr>
  </w:style>
  <w:style w:type="character" w:styleId="37">
    <w:name w:val="Subtitle Char"/>
    <w:basedOn w:val="664"/>
    <w:link w:val="668"/>
    <w:uiPriority w:val="11"/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4"/>
    <w:link w:val="630"/>
    <w:uiPriority w:val="99"/>
  </w:style>
  <w:style w:type="character" w:styleId="45">
    <w:name w:val="Footer Char"/>
    <w:basedOn w:val="664"/>
    <w:link w:val="632"/>
    <w:uiPriority w:val="99"/>
  </w:style>
  <w:style w:type="paragraph" w:styleId="46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32"/>
    <w:uiPriority w:val="99"/>
  </w:style>
  <w:style w:type="table" w:styleId="49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4"/>
    <w:uiPriority w:val="99"/>
    <w:unhideWhenUsed/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4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19" w:default="1">
    <w:name w:val="Normal"/>
    <w:link w:val="620"/>
    <w:uiPriority w:val="0"/>
    <w:qFormat/>
  </w:style>
  <w:style w:type="character" w:styleId="620" w:default="1">
    <w:name w:val="Normal"/>
    <w:link w:val="619"/>
  </w:style>
  <w:style w:type="paragraph" w:styleId="621">
    <w:name w:val="toc 2"/>
    <w:next w:val="619"/>
    <w:link w:val="622"/>
    <w:uiPriority w:val="39"/>
    <w:pPr>
      <w:ind w:left="200" w:firstLine="0"/>
    </w:pPr>
    <w:rPr>
      <w:rFonts w:ascii="XO Thames" w:hAnsi="XO Thames"/>
      <w:sz w:val="28"/>
    </w:rPr>
  </w:style>
  <w:style w:type="character" w:styleId="622">
    <w:name w:val="toc 2"/>
    <w:link w:val="621"/>
    <w:rPr>
      <w:rFonts w:ascii="XO Thames" w:hAnsi="XO Thames"/>
      <w:sz w:val="28"/>
    </w:rPr>
  </w:style>
  <w:style w:type="paragraph" w:styleId="623">
    <w:name w:val="toc 4"/>
    <w:next w:val="619"/>
    <w:link w:val="624"/>
    <w:uiPriority w:val="39"/>
    <w:pPr>
      <w:ind w:left="600" w:firstLine="0"/>
    </w:pPr>
    <w:rPr>
      <w:rFonts w:ascii="XO Thames" w:hAnsi="XO Thames"/>
      <w:sz w:val="28"/>
    </w:rPr>
  </w:style>
  <w:style w:type="character" w:styleId="624">
    <w:name w:val="toc 4"/>
    <w:link w:val="623"/>
    <w:rPr>
      <w:rFonts w:ascii="XO Thames" w:hAnsi="XO Thames"/>
      <w:sz w:val="28"/>
    </w:rPr>
  </w:style>
  <w:style w:type="paragraph" w:styleId="625">
    <w:name w:val="toc 6"/>
    <w:next w:val="619"/>
    <w:link w:val="626"/>
    <w:uiPriority w:val="39"/>
    <w:pPr>
      <w:ind w:left="1000" w:firstLine="0"/>
    </w:pPr>
    <w:rPr>
      <w:rFonts w:ascii="XO Thames" w:hAnsi="XO Thames"/>
      <w:sz w:val="28"/>
    </w:rPr>
  </w:style>
  <w:style w:type="character" w:styleId="626">
    <w:name w:val="toc 6"/>
    <w:link w:val="625"/>
    <w:rPr>
      <w:rFonts w:ascii="XO Thames" w:hAnsi="XO Thames"/>
      <w:sz w:val="28"/>
    </w:rPr>
  </w:style>
  <w:style w:type="paragraph" w:styleId="627">
    <w:name w:val="toc 7"/>
    <w:next w:val="619"/>
    <w:link w:val="628"/>
    <w:uiPriority w:val="39"/>
    <w:pPr>
      <w:ind w:left="1200" w:firstLine="0"/>
    </w:pPr>
    <w:rPr>
      <w:rFonts w:ascii="XO Thames" w:hAnsi="XO Thames"/>
      <w:sz w:val="28"/>
    </w:rPr>
  </w:style>
  <w:style w:type="character" w:styleId="628">
    <w:name w:val="toc 7"/>
    <w:link w:val="627"/>
    <w:rPr>
      <w:rFonts w:ascii="XO Thames" w:hAnsi="XO Thames"/>
      <w:sz w:val="28"/>
    </w:rPr>
  </w:style>
  <w:style w:type="paragraph" w:styleId="629">
    <w:name w:val="Header"/>
    <w:basedOn w:val="619"/>
    <w:link w:val="63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30">
    <w:name w:val="Header"/>
    <w:basedOn w:val="620"/>
    <w:link w:val="629"/>
  </w:style>
  <w:style w:type="paragraph" w:styleId="631">
    <w:name w:val="Footer"/>
    <w:basedOn w:val="619"/>
    <w:link w:val="63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32">
    <w:name w:val="Footer"/>
    <w:basedOn w:val="620"/>
    <w:link w:val="631"/>
    <w:rPr>
      <w:rFonts w:ascii="Times New Roman" w:hAnsi="Times New Roman"/>
      <w:sz w:val="28"/>
    </w:rPr>
  </w:style>
  <w:style w:type="paragraph" w:styleId="633">
    <w:name w:val="Heading 3"/>
    <w:next w:val="619"/>
    <w:link w:val="634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34">
    <w:name w:val="Heading 3"/>
    <w:link w:val="633"/>
    <w:rPr>
      <w:rFonts w:ascii="XO Thames" w:hAnsi="XO Thames"/>
      <w:b/>
      <w:sz w:val="26"/>
    </w:rPr>
  </w:style>
  <w:style w:type="paragraph" w:styleId="635">
    <w:name w:val="Основной шрифт абзаца1"/>
    <w:link w:val="636"/>
  </w:style>
  <w:style w:type="character" w:styleId="636">
    <w:name w:val="Основной шрифт абзаца1"/>
    <w:link w:val="635"/>
  </w:style>
  <w:style w:type="paragraph" w:styleId="637">
    <w:name w:val="Balloon Text"/>
    <w:basedOn w:val="619"/>
    <w:link w:val="638"/>
    <w:pPr>
      <w:spacing w:after="0" w:line="240" w:lineRule="auto"/>
    </w:pPr>
    <w:rPr>
      <w:rFonts w:ascii="Segoe UI" w:hAnsi="Segoe UI"/>
      <w:sz w:val="18"/>
    </w:rPr>
  </w:style>
  <w:style w:type="character" w:styleId="638">
    <w:name w:val="Balloon Text"/>
    <w:basedOn w:val="620"/>
    <w:link w:val="637"/>
    <w:rPr>
      <w:rFonts w:ascii="Segoe UI" w:hAnsi="Segoe UI"/>
      <w:sz w:val="18"/>
    </w:rPr>
  </w:style>
  <w:style w:type="paragraph" w:styleId="639">
    <w:name w:val="Plain Text"/>
    <w:basedOn w:val="619"/>
    <w:link w:val="640"/>
    <w:pPr>
      <w:spacing w:after="0" w:line="240" w:lineRule="auto"/>
    </w:pPr>
    <w:rPr>
      <w:rFonts w:ascii="Calibri" w:hAnsi="Calibri"/>
    </w:rPr>
  </w:style>
  <w:style w:type="character" w:styleId="640">
    <w:name w:val="Plain Text"/>
    <w:basedOn w:val="620"/>
    <w:link w:val="639"/>
    <w:rPr>
      <w:rFonts w:ascii="Calibri" w:hAnsi="Calibri"/>
    </w:rPr>
  </w:style>
  <w:style w:type="paragraph" w:styleId="641">
    <w:name w:val="Обычный1"/>
    <w:link w:val="642"/>
  </w:style>
  <w:style w:type="character" w:styleId="642">
    <w:name w:val="Обычный1"/>
    <w:link w:val="641"/>
  </w:style>
  <w:style w:type="paragraph" w:styleId="643">
    <w:name w:val="Гиперссылка1"/>
    <w:basedOn w:val="635"/>
    <w:link w:val="644"/>
    <w:rPr>
      <w:color w:val="0563c1" w:themeColor="hyperlink"/>
      <w:u w:val="single"/>
    </w:rPr>
  </w:style>
  <w:style w:type="character" w:styleId="644">
    <w:name w:val="Гиперссылка1"/>
    <w:basedOn w:val="636"/>
    <w:link w:val="643"/>
    <w:rPr>
      <w:color w:val="0563c1" w:themeColor="hyperlink"/>
      <w:u w:val="single"/>
    </w:rPr>
  </w:style>
  <w:style w:type="paragraph" w:styleId="645">
    <w:name w:val="toc 3"/>
    <w:next w:val="619"/>
    <w:link w:val="646"/>
    <w:uiPriority w:val="39"/>
    <w:pPr>
      <w:ind w:left="400" w:firstLine="0"/>
    </w:pPr>
    <w:rPr>
      <w:rFonts w:ascii="XO Thames" w:hAnsi="XO Thames"/>
      <w:sz w:val="28"/>
    </w:rPr>
  </w:style>
  <w:style w:type="character" w:styleId="646">
    <w:name w:val="toc 3"/>
    <w:link w:val="645"/>
    <w:rPr>
      <w:rFonts w:ascii="XO Thames" w:hAnsi="XO Thames"/>
      <w:sz w:val="28"/>
    </w:rPr>
  </w:style>
  <w:style w:type="paragraph" w:styleId="647">
    <w:name w:val="Heading 5"/>
    <w:next w:val="619"/>
    <w:link w:val="648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48">
    <w:name w:val="Heading 5"/>
    <w:link w:val="647"/>
    <w:rPr>
      <w:rFonts w:ascii="XO Thames" w:hAnsi="XO Thames"/>
      <w:b/>
    </w:rPr>
  </w:style>
  <w:style w:type="paragraph" w:styleId="649">
    <w:name w:val="Heading 1"/>
    <w:next w:val="619"/>
    <w:link w:val="650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50">
    <w:name w:val="Heading 1"/>
    <w:link w:val="649"/>
    <w:rPr>
      <w:rFonts w:ascii="XO Thames" w:hAnsi="XO Thames"/>
      <w:b/>
      <w:sz w:val="32"/>
    </w:rPr>
  </w:style>
  <w:style w:type="paragraph" w:styleId="651">
    <w:name w:val="Hyperlink"/>
    <w:link w:val="652"/>
    <w:rPr>
      <w:color w:val="0000ff"/>
      <w:u w:val="single"/>
    </w:rPr>
  </w:style>
  <w:style w:type="character" w:styleId="652">
    <w:name w:val="Hyperlink"/>
    <w:link w:val="651"/>
    <w:rPr>
      <w:color w:val="0000ff"/>
      <w:u w:val="single"/>
    </w:rPr>
  </w:style>
  <w:style w:type="paragraph" w:styleId="653">
    <w:name w:val="Footnote"/>
    <w:link w:val="654"/>
    <w:pPr>
      <w:ind w:left="0" w:firstLine="851"/>
      <w:jc w:val="both"/>
    </w:pPr>
    <w:rPr>
      <w:rFonts w:ascii="XO Thames" w:hAnsi="XO Thames"/>
    </w:rPr>
  </w:style>
  <w:style w:type="character" w:styleId="654">
    <w:name w:val="Footnote"/>
    <w:link w:val="653"/>
    <w:rPr>
      <w:rFonts w:ascii="XO Thames" w:hAnsi="XO Thames"/>
    </w:rPr>
  </w:style>
  <w:style w:type="paragraph" w:styleId="655">
    <w:name w:val="toc 1"/>
    <w:next w:val="619"/>
    <w:link w:val="656"/>
    <w:uiPriority w:val="39"/>
    <w:rPr>
      <w:rFonts w:ascii="XO Thames" w:hAnsi="XO Thames"/>
      <w:b/>
      <w:sz w:val="28"/>
    </w:rPr>
  </w:style>
  <w:style w:type="character" w:styleId="656">
    <w:name w:val="toc 1"/>
    <w:link w:val="655"/>
    <w:rPr>
      <w:rFonts w:ascii="XO Thames" w:hAnsi="XO Thames"/>
      <w:b/>
      <w:sz w:val="28"/>
    </w:rPr>
  </w:style>
  <w:style w:type="paragraph" w:styleId="657">
    <w:name w:val="Header and Footer"/>
    <w:link w:val="658"/>
    <w:pPr>
      <w:jc w:val="both"/>
      <w:spacing w:line="240" w:lineRule="auto"/>
    </w:pPr>
    <w:rPr>
      <w:rFonts w:ascii="XO Thames" w:hAnsi="XO Thames"/>
      <w:sz w:val="20"/>
    </w:rPr>
  </w:style>
  <w:style w:type="character" w:styleId="658">
    <w:name w:val="Header and Footer"/>
    <w:link w:val="657"/>
    <w:rPr>
      <w:rFonts w:ascii="XO Thames" w:hAnsi="XO Thames"/>
      <w:sz w:val="20"/>
    </w:rPr>
  </w:style>
  <w:style w:type="paragraph" w:styleId="659">
    <w:name w:val="toc 9"/>
    <w:next w:val="619"/>
    <w:link w:val="660"/>
    <w:uiPriority w:val="39"/>
    <w:pPr>
      <w:ind w:left="1600" w:firstLine="0"/>
    </w:pPr>
    <w:rPr>
      <w:rFonts w:ascii="XO Thames" w:hAnsi="XO Thames"/>
      <w:sz w:val="28"/>
    </w:rPr>
  </w:style>
  <w:style w:type="character" w:styleId="660">
    <w:name w:val="toc 9"/>
    <w:link w:val="659"/>
    <w:rPr>
      <w:rFonts w:ascii="XO Thames" w:hAnsi="XO Thames"/>
      <w:sz w:val="28"/>
    </w:rPr>
  </w:style>
  <w:style w:type="paragraph" w:styleId="661">
    <w:name w:val="toc 8"/>
    <w:next w:val="619"/>
    <w:link w:val="662"/>
    <w:uiPriority w:val="39"/>
    <w:pPr>
      <w:ind w:left="1400" w:firstLine="0"/>
    </w:pPr>
    <w:rPr>
      <w:rFonts w:ascii="XO Thames" w:hAnsi="XO Thames"/>
      <w:sz w:val="28"/>
    </w:rPr>
  </w:style>
  <w:style w:type="character" w:styleId="662">
    <w:name w:val="toc 8"/>
    <w:link w:val="661"/>
    <w:rPr>
      <w:rFonts w:ascii="XO Thames" w:hAnsi="XO Thames"/>
      <w:sz w:val="28"/>
    </w:rPr>
  </w:style>
  <w:style w:type="paragraph" w:styleId="663">
    <w:name w:val="Default Paragraph Font"/>
    <w:link w:val="664"/>
  </w:style>
  <w:style w:type="character" w:styleId="664">
    <w:name w:val="Default Paragraph Font"/>
    <w:link w:val="663"/>
  </w:style>
  <w:style w:type="paragraph" w:styleId="665">
    <w:name w:val="toc 5"/>
    <w:next w:val="619"/>
    <w:link w:val="666"/>
    <w:uiPriority w:val="39"/>
    <w:pPr>
      <w:ind w:left="800" w:firstLine="0"/>
    </w:pPr>
    <w:rPr>
      <w:rFonts w:ascii="XO Thames" w:hAnsi="XO Thames"/>
      <w:sz w:val="28"/>
    </w:rPr>
  </w:style>
  <w:style w:type="character" w:styleId="666">
    <w:name w:val="toc 5"/>
    <w:link w:val="665"/>
    <w:rPr>
      <w:rFonts w:ascii="XO Thames" w:hAnsi="XO Thames"/>
      <w:sz w:val="28"/>
    </w:rPr>
  </w:style>
  <w:style w:type="paragraph" w:styleId="667">
    <w:name w:val="Subtitle"/>
    <w:next w:val="619"/>
    <w:link w:val="668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68">
    <w:name w:val="Subtitle"/>
    <w:link w:val="667"/>
    <w:rPr>
      <w:rFonts w:ascii="XO Thames" w:hAnsi="XO Thames"/>
      <w:i/>
      <w:sz w:val="24"/>
    </w:rPr>
  </w:style>
  <w:style w:type="paragraph" w:styleId="669">
    <w:name w:val="Title"/>
    <w:next w:val="619"/>
    <w:link w:val="670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70">
    <w:name w:val="Title"/>
    <w:link w:val="669"/>
    <w:rPr>
      <w:rFonts w:ascii="XO Thames" w:hAnsi="XO Thames"/>
      <w:b/>
      <w:caps/>
      <w:sz w:val="40"/>
    </w:rPr>
  </w:style>
  <w:style w:type="paragraph" w:styleId="671">
    <w:name w:val="Heading 4"/>
    <w:next w:val="619"/>
    <w:link w:val="672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72">
    <w:name w:val="Heading 4"/>
    <w:link w:val="671"/>
    <w:rPr>
      <w:rFonts w:ascii="XO Thames" w:hAnsi="XO Thames"/>
      <w:b/>
      <w:sz w:val="24"/>
    </w:rPr>
  </w:style>
  <w:style w:type="paragraph" w:styleId="673">
    <w:name w:val="Heading 2"/>
    <w:next w:val="619"/>
    <w:link w:val="674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74">
    <w:name w:val="Heading 2"/>
    <w:link w:val="673"/>
    <w:rPr>
      <w:rFonts w:ascii="XO Thames" w:hAnsi="XO Thames"/>
      <w:b/>
      <w:sz w:val="28"/>
    </w:rPr>
  </w:style>
  <w:style w:type="table" w:styleId="675">
    <w:name w:val="Table Grid"/>
    <w:basedOn w:val="676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6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Сетка таблицы2"/>
    <w:basedOn w:val="676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8">
    <w:name w:val="Сетка таблицы1"/>
    <w:basedOn w:val="676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5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Масколенко Даниил Алексеевич</cp:lastModifiedBy>
  <cp:revision>1</cp:revision>
  <dcterms:modified xsi:type="dcterms:W3CDTF">2024-01-22T22:45:17Z</dcterms:modified>
</cp:coreProperties>
</file>