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962" w:right="0" w:hanging="0"/>
        <w:rPr>
          <w:sz w:val="28"/>
        </w:rPr>
      </w:pPr>
      <w:r>
        <w:rPr>
          <w:sz w:val="28"/>
        </w:rPr>
        <w:t>3</w:t>
      </w:r>
    </w:p>
    <w:p>
      <w:pPr>
        <w:pStyle w:val="Normal"/>
        <w:ind w:left="4962" w:right="0" w:hanging="0"/>
        <w:rPr>
          <w:sz w:val="24"/>
        </w:rPr>
      </w:pPr>
      <w:r>
        <w:rPr>
          <w:sz w:val="24"/>
        </w:rPr>
      </w:r>
    </w:p>
    <w:p>
      <w:pPr>
        <w:pStyle w:val="Normal"/>
        <w:ind w:left="5102" w:right="0" w:hanging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>
      <w:pPr>
        <w:pStyle w:val="Normal"/>
        <w:ind w:left="5102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ind w:left="5102" w:right="0" w:hanging="0"/>
        <w:jc w:val="both"/>
        <w:rPr>
          <w:sz w:val="28"/>
        </w:rPr>
      </w:pPr>
      <w:r>
        <w:rPr>
          <w:sz w:val="28"/>
        </w:rPr>
        <w:t>от [</w:t>
      </w:r>
      <w:r>
        <w:rPr>
          <w:sz w:val="28"/>
        </w:rPr>
        <w:t>28.11.2023</w:t>
      </w:r>
      <w:r>
        <w:rPr>
          <w:sz w:val="28"/>
        </w:rPr>
        <w:t>] № [</w:t>
      </w:r>
      <w:r>
        <w:rPr>
          <w:sz w:val="28"/>
        </w:rPr>
        <w:t>413-П</w:t>
      </w:r>
      <w:r>
        <w:rPr>
          <w:sz w:val="28"/>
        </w:rPr>
        <w:t>]</w:t>
      </w:r>
    </w:p>
    <w:p>
      <w:pPr>
        <w:pStyle w:val="ConsPlusTitle1"/>
        <w:widowControl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Состав аукционной комиссии аукциона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на право пользования участками недр местного значения «Карьер-1» , «Карьер-3» и «Карьер-4» с целью геологического изучения недр,</w:t>
      </w:r>
      <w:r>
        <w:rPr/>
        <w:br/>
      </w:r>
      <w:r>
        <w:rPr>
          <w:rFonts w:ascii="Times New Roman" w:hAnsi="Times New Roman"/>
          <w:b w:val="false"/>
          <w:sz w:val="28"/>
        </w:rPr>
        <w:t>разведки и добычи вулканических пород на строительный камень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(далее – Аукционная комиссия)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tbl>
      <w:tblPr>
        <w:tblStyle w:val="Style_3"/>
        <w:tblW w:w="95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4"/>
        <w:gridCol w:w="540"/>
        <w:gridCol w:w="5832"/>
      </w:tblGrid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Браун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Людмила Александровна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Гайчева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Ольга Николаевна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0"/>
              </w:rPr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Дехтярь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Татьяна Николаевна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Дронин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Владимирович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Себова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Светлана Викторовна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0"/>
              </w:rPr>
            </w:r>
          </w:p>
        </w:tc>
      </w:tr>
      <w:tr>
        <w:trPr>
          <w:trHeight w:val="833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Труфанов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Владислав Алексеевич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>
      <w:pPr>
        <w:pStyle w:val="Normal"/>
        <w:ind w:left="0" w:right="0" w:firstLine="709"/>
        <w:jc w:val="both"/>
        <w:rPr>
          <w:sz w:val="16"/>
        </w:rPr>
      </w:pPr>
      <w:r>
        <w:rPr/>
      </w:r>
    </w:p>
    <w:sectPr>
      <w:type w:val="nextPage"/>
      <w:pgSz w:w="11906" w:h="16838"/>
      <w:pgMar w:left="1701" w:right="680" w:gutter="0" w:header="0" w:top="56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Колонтитул"/>
    <w:link w:val="Style20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Textbody">
    <w:name w:val="Text body"/>
    <w:link w:val="Textbody1"/>
    <w:qFormat/>
    <w:rPr/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Style10">
    <w:name w:val="Заголовок"/>
    <w:link w:val="Style15"/>
    <w:qFormat/>
    <w:rPr>
      <w:rFonts w:ascii="Open Sans" w:hAnsi="Open Sans"/>
      <w:sz w:val="28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Style11">
    <w:name w:val="Содержимое таблицы"/>
    <w:link w:val="Style21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Style12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aption">
    <w:name w:val="Caption"/>
    <w:qFormat/>
    <w:rPr>
      <w:i/>
      <w:sz w:val="24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Style13">
    <w:name w:val="Указатель"/>
    <w:link w:val="Style19"/>
    <w:qFormat/>
    <w:rPr/>
  </w:style>
  <w:style w:type="character" w:styleId="ConsPlusNormal">
    <w:name w:val="ConsPlusNormal"/>
    <w:link w:val="ConsPlusNormal1"/>
    <w:qFormat/>
    <w:rPr>
      <w:rFonts w:ascii="Arial" w:hAnsi="Arial"/>
      <w:color w:val="000000"/>
      <w:spacing w:val="0"/>
      <w:sz w:val="20"/>
    </w:rPr>
  </w:style>
  <w:style w:type="character" w:styleId="Style14">
    <w:name w:val="Заголовок таблицы"/>
    <w:basedOn w:val="Style11"/>
    <w:link w:val="Style24"/>
    <w:qFormat/>
    <w:rPr>
      <w:b/>
    </w:rPr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paragraph" w:styleId="Style15">
    <w:name w:val="Заголовок"/>
    <w:basedOn w:val="Normal"/>
    <w:next w:val="Style16"/>
    <w:link w:val="Style1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9">
    <w:name w:val="Указатель"/>
    <w:basedOn w:val="Normal"/>
    <w:link w:val="Style13"/>
    <w:qFormat/>
    <w:pPr/>
    <w:rPr/>
  </w:style>
  <w:style w:type="paragraph" w:styleId="Style20">
    <w:name w:val="Колонтитул"/>
    <w:link w:val="Style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Содержимое таблицы"/>
    <w:basedOn w:val="Normal"/>
    <w:link w:val="Style11"/>
    <w:qFormat/>
    <w:pPr>
      <w:widowControl w:val="false"/>
    </w:pPr>
    <w:rPr/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Title"/>
    <w:next w:val="Normal"/>
    <w:uiPriority w:val="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bidi w:val="0"/>
      <w:spacing w:lineRule="auto" w:line="240" w:before="0" w:after="0"/>
      <w:ind w:left="0" w:right="0" w:firstLine="72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Заголовок таблицы"/>
    <w:basedOn w:val="Style21"/>
    <w:link w:val="Style14"/>
    <w:qFormat/>
    <w:pPr>
      <w:jc w:val="center"/>
    </w:pPr>
    <w:rPr>
      <w:b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Contents41">
    <w:name w:val="Contents 4"/>
    <w:link w:val="Contents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styleId="Style_3">
    <w:name w:val="Table Grid"/>
    <w:basedOn w:val="Style_5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5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LibreOffice/7.4.4.2$Linux_X86_64 LibreOffice_project/40$Build-2</Application>
  <AppVersion>15.0000</AppVersion>
  <Pages>1</Pages>
  <Words>168</Words>
  <Characters>1334</Characters>
  <CharactersWithSpaces>1476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2023-11-29T09:35:40Z</dcterms:modified>
  <cp:revision>1</cp:revision>
  <dc:subject/>
  <dc:title/>
</cp:coreProperties>
</file>