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09" w:rsidRDefault="009C7609">
      <w:pPr>
        <w:pStyle w:val="ConsPlusNormal"/>
        <w:jc w:val="both"/>
        <w:outlineLvl w:val="0"/>
      </w:pPr>
    </w:p>
    <w:p w:rsidR="009C7609" w:rsidRPr="004C045D" w:rsidRDefault="009C7609">
      <w:pPr>
        <w:pStyle w:val="ConsPlusTitle"/>
        <w:jc w:val="center"/>
        <w:outlineLvl w:val="0"/>
      </w:pPr>
      <w:r w:rsidRPr="004C045D">
        <w:t>МИНИСТЕРСТВО РОССИЙСКОЙ ФЕДЕРАЦИИ ПО РАЗВИТИЮ</w:t>
      </w:r>
    </w:p>
    <w:p w:rsidR="009C7609" w:rsidRPr="004C045D" w:rsidRDefault="009C7609">
      <w:pPr>
        <w:pStyle w:val="ConsPlusTitle"/>
        <w:jc w:val="center"/>
      </w:pPr>
      <w:r w:rsidRPr="004C045D">
        <w:t>ДАЛЬНЕГО ВОСТОКА</w:t>
      </w:r>
    </w:p>
    <w:p w:rsidR="009C7609" w:rsidRPr="004C045D" w:rsidRDefault="009C7609">
      <w:pPr>
        <w:pStyle w:val="ConsPlusTitle"/>
        <w:jc w:val="center"/>
      </w:pPr>
    </w:p>
    <w:p w:rsidR="009C7609" w:rsidRPr="004C045D" w:rsidRDefault="009C7609">
      <w:pPr>
        <w:pStyle w:val="ConsPlusTitle"/>
        <w:jc w:val="center"/>
      </w:pPr>
      <w:r w:rsidRPr="004C045D">
        <w:t>ПРИКАЗ</w:t>
      </w:r>
    </w:p>
    <w:p w:rsidR="009C7609" w:rsidRPr="004C045D" w:rsidRDefault="009C7609">
      <w:pPr>
        <w:pStyle w:val="ConsPlusTitle"/>
        <w:jc w:val="center"/>
      </w:pPr>
      <w:r w:rsidRPr="004C045D">
        <w:t>от 16 января 2015 г. N 2</w:t>
      </w:r>
    </w:p>
    <w:p w:rsidR="009C7609" w:rsidRPr="004C045D" w:rsidRDefault="009C7609">
      <w:pPr>
        <w:pStyle w:val="ConsPlusTitle"/>
        <w:jc w:val="center"/>
      </w:pPr>
    </w:p>
    <w:p w:rsidR="009C7609" w:rsidRPr="004C045D" w:rsidRDefault="009C7609">
      <w:pPr>
        <w:pStyle w:val="ConsPlusTitle"/>
        <w:jc w:val="center"/>
      </w:pPr>
      <w:r w:rsidRPr="004C045D">
        <w:t>ОБ УТВЕРЖДЕНИИ МЕТОДИЧЕСКИХ РЕКОМЕНДАЦИЙ</w:t>
      </w:r>
    </w:p>
    <w:p w:rsidR="009C7609" w:rsidRPr="004C045D" w:rsidRDefault="009C7609">
      <w:pPr>
        <w:pStyle w:val="ConsPlusTitle"/>
        <w:jc w:val="center"/>
      </w:pPr>
      <w:r w:rsidRPr="004C045D">
        <w:t>ПО ПОРЯДКУ ОФОРМЛЕНИЯ И ПОДАЧИ ДОКУМЕНТОВ ДЛЯ УЧАСТИЯ</w:t>
      </w:r>
    </w:p>
    <w:p w:rsidR="009C7609" w:rsidRPr="004C045D" w:rsidRDefault="009C7609">
      <w:pPr>
        <w:pStyle w:val="ConsPlusTitle"/>
        <w:jc w:val="center"/>
      </w:pPr>
      <w:r w:rsidRPr="004C045D">
        <w:t>В ОТБОРЕ ИНВЕСТИЦИОННЫХ ПРОЕКТОВ, ПЛАНИРУЕМЫХ</w:t>
      </w:r>
    </w:p>
    <w:p w:rsidR="009C7609" w:rsidRPr="004C045D" w:rsidRDefault="009C7609">
      <w:pPr>
        <w:pStyle w:val="ConsPlusTitle"/>
        <w:jc w:val="center"/>
      </w:pPr>
      <w:r w:rsidRPr="004C045D">
        <w:t>К РЕАЛИЗАЦИИ НА ТЕРРИТОРИИ ДАЛЬНЕГО ВОСТОКА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В соответствии с пунктом 3 Методики отбора инвестиционных проектов, планируемых к реализации на территориях Дальнего Востока и Байкальского региона, утвержденной постановлением Правительства Российской Федерации от 16 октября 2014 года N 1055 (Собрание законодательства Российской Федерации, 2014, N 43, ст. 5893), приказываю: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Утвердить прилагаемые Методические рекомендации по порядку оформления и подачи документов для участия в отборе инвестиционных проектов, планируемых к реализации на территории Дальнего Востока.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right"/>
      </w:pPr>
      <w:r w:rsidRPr="004C045D">
        <w:t>Министр</w:t>
      </w:r>
    </w:p>
    <w:p w:rsidR="009C7609" w:rsidRPr="004C045D" w:rsidRDefault="009C7609">
      <w:pPr>
        <w:pStyle w:val="ConsPlusNormal"/>
        <w:jc w:val="right"/>
      </w:pPr>
      <w:r w:rsidRPr="004C045D">
        <w:t>А.С.ГАЛУШКА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Не нуждается в государственной регистрации. Письмо Минюста России от 1 апреля 2015 г. N 01/36269-ЮЛ.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 w:rsidP="00F43146">
      <w:pPr>
        <w:pStyle w:val="ConsPlusNormal"/>
        <w:jc w:val="both"/>
      </w:pPr>
      <w:bookmarkStart w:id="0" w:name="_GoBack"/>
      <w:bookmarkEnd w:id="0"/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right"/>
        <w:outlineLvl w:val="0"/>
      </w:pPr>
      <w:r w:rsidRPr="004C045D">
        <w:t>Утверждены</w:t>
      </w:r>
    </w:p>
    <w:p w:rsidR="009C7609" w:rsidRPr="004C045D" w:rsidRDefault="009C7609">
      <w:pPr>
        <w:pStyle w:val="ConsPlusNormal"/>
        <w:jc w:val="right"/>
      </w:pPr>
      <w:r w:rsidRPr="004C045D">
        <w:t>приказом Минвостокразвития России</w:t>
      </w:r>
    </w:p>
    <w:p w:rsidR="009C7609" w:rsidRPr="004C045D" w:rsidRDefault="009C7609">
      <w:pPr>
        <w:pStyle w:val="ConsPlusNormal"/>
        <w:jc w:val="right"/>
      </w:pPr>
      <w:r w:rsidRPr="004C045D">
        <w:t>от 16 января 2015 г. N 2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Title"/>
        <w:jc w:val="center"/>
      </w:pPr>
      <w:bookmarkStart w:id="1" w:name="P28"/>
      <w:bookmarkEnd w:id="1"/>
      <w:r w:rsidRPr="004C045D">
        <w:t>МЕТОДИЧЕСКИЕ РЕКОМЕНДАЦИИ</w:t>
      </w:r>
    </w:p>
    <w:p w:rsidR="009C7609" w:rsidRPr="004C045D" w:rsidRDefault="009C7609">
      <w:pPr>
        <w:pStyle w:val="ConsPlusTitle"/>
        <w:jc w:val="center"/>
      </w:pPr>
      <w:r w:rsidRPr="004C045D">
        <w:t>ПО ПОРЯДКУ ОФОРМЛЕНИЯ И ПОДАЧИ ДОКУМЕНТОВ ДЛЯ УЧАСТИЯ</w:t>
      </w:r>
    </w:p>
    <w:p w:rsidR="009C7609" w:rsidRPr="004C045D" w:rsidRDefault="009C7609">
      <w:pPr>
        <w:pStyle w:val="ConsPlusTitle"/>
        <w:jc w:val="center"/>
      </w:pPr>
      <w:r w:rsidRPr="004C045D">
        <w:t>В ОТБОРЕ ИНВЕСТИЦИОННЫХ ПРОЕКТОВ, ПЛАНИРУЕМЫХ</w:t>
      </w:r>
    </w:p>
    <w:p w:rsidR="009C7609" w:rsidRPr="004C045D" w:rsidRDefault="009C7609">
      <w:pPr>
        <w:pStyle w:val="ConsPlusTitle"/>
        <w:jc w:val="center"/>
      </w:pPr>
      <w:r w:rsidRPr="004C045D">
        <w:t>К РЕАЛИЗАЦИИ НА ТЕРРИТОРИИ ДАЛЬНЕГО ВОСТОКА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I. Общие положения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 xml:space="preserve">1. Настоящие методические рекомендации разработаны в соответствии с </w:t>
      </w:r>
      <w:hyperlink r:id="rId4" w:history="1">
        <w:r w:rsidRPr="004C045D">
          <w:t>Методикой</w:t>
        </w:r>
      </w:hyperlink>
      <w:r w:rsidRPr="004C045D">
        <w:t xml:space="preserve"> отбора инвестиционных проектов, планируемых к реализации на территориях Дальнего Востока и Байкальского региона, утвержденной постановлением Правительства Российской Федерации от 16 октября 2014 г. N 1055 (Собрание законодательства Российской Федерации, 2014, N 43, ст. 5893) (далее - Методика), и содержат рекомендации по порядку оформления и подачи документов инвесторами инвестиционных проектов для участия в отборе инвестиционных проектов, планируемых к реализации на территории Дальнего Востока.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II. Рекомендации по порядку подачи документов</w:t>
      </w:r>
    </w:p>
    <w:p w:rsidR="009C7609" w:rsidRPr="004C045D" w:rsidRDefault="009C7609">
      <w:pPr>
        <w:pStyle w:val="ConsPlusNormal"/>
        <w:jc w:val="center"/>
      </w:pPr>
      <w:r w:rsidRPr="004C045D">
        <w:t>для участия в отборе инвестиционных проектов, планируемых</w:t>
      </w:r>
    </w:p>
    <w:p w:rsidR="009C7609" w:rsidRPr="004C045D" w:rsidRDefault="009C7609">
      <w:pPr>
        <w:pStyle w:val="ConsPlusNormal"/>
        <w:jc w:val="center"/>
      </w:pPr>
      <w:r w:rsidRPr="004C045D">
        <w:t>к реализации на территории Дальнего Востока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lastRenderedPageBreak/>
        <w:t xml:space="preserve">2. Инвестор инвестиционного проекта для участия в отборе инвестиционных проектов, планируемых к реализации на территории Дальнего Востока (далее также - отбор), представляет в Министерство Российской Федерации по развитию Дальнего Востока документы, предусмотренные </w:t>
      </w:r>
      <w:hyperlink r:id="rId5" w:history="1">
        <w:r w:rsidRPr="004C045D">
          <w:t>пунктом 7</w:t>
        </w:r>
      </w:hyperlink>
      <w:r w:rsidRPr="004C045D">
        <w:t xml:space="preserve"> Методики.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3. Документы рекомендуется представлять с сопроводительным письмом за подписью руководителя инвестора инвестиционного проекта (уполномоченного им лица) с приложением перечня прилагаемых документов и электронных носителей информации с указанием сведений о наименовании документа, количестве листов каждого документа (на бумажном носителе), реквизитов документа (при их наличии), а также описанием вида электронного носителя, его содержания.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4. Документы, которые в соответствии с требованиями </w:t>
      </w:r>
      <w:hyperlink r:id="rId6" w:history="1">
        <w:r w:rsidRPr="004C045D">
          <w:t>Методики</w:t>
        </w:r>
      </w:hyperlink>
      <w:r w:rsidRPr="004C045D">
        <w:t xml:space="preserve"> подлежат представлению на электронном носителе, рекомендуется оформлять в форме электронных образов бумажных документов, обеспечив их визуальную идентичность бумажному оригиналу в масштабе 1:1 и качество, позволяющее в полном объеме прочитать текст документа. Если бумажный документ состоит из двух и более листов, электронный образ такого бумажного документа рекомендуется формировать в формате PDF в виде одного файла.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5. В целях наиболее полного и всестороннего рассмотрения представленных инвестиционных проектов инвестору инвестиционного проекта рекомендуется также представить иную справочную документацию, относящуюся к инвестиционному проекту.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III. Рекомендации по оформлению бизнес-плана</w:t>
      </w:r>
    </w:p>
    <w:p w:rsidR="009C7609" w:rsidRPr="004C045D" w:rsidRDefault="009C7609">
      <w:pPr>
        <w:pStyle w:val="ConsPlusNormal"/>
        <w:jc w:val="center"/>
      </w:pPr>
      <w:r w:rsidRPr="004C045D">
        <w:t>инвестиционного проекта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6. Если инвестиционный проект предусматривает государственную поддержку в форме бюджетных инвестиций, то бизнес-план инвестиционного проекта рекомендуется разрабатывать с учетом частных и бюджетных инвестиций.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7. В качестве бизнес-плана инвестиционного проекта также может быть предоставлен бизнес-план, на основании которого банк принял решение о кредитовании инвестора инвестиционного проекта до вступления в силу </w:t>
      </w:r>
      <w:hyperlink r:id="rId7" w:history="1">
        <w:r w:rsidRPr="004C045D">
          <w:t>Методики</w:t>
        </w:r>
      </w:hyperlink>
      <w:r w:rsidRPr="004C045D">
        <w:t>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IV. Рекомендации по оформлению финансово-экономической</w:t>
      </w:r>
    </w:p>
    <w:p w:rsidR="009C7609" w:rsidRPr="004C045D" w:rsidRDefault="009C7609">
      <w:pPr>
        <w:pStyle w:val="ConsPlusNormal"/>
        <w:jc w:val="center"/>
      </w:pPr>
      <w:r w:rsidRPr="004C045D">
        <w:t>модели инвестиционного проекта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8. Если инвестиционный проект предусматривает государственную поддержку в форме бюджетных инвестиций, то в финансово-экономической модели инвестиционного проекта рекомендуется приводить два варианта расчетов с учетом и без учета получения бюджетных ассигнований на создание и (или) модернизацию объекта (объектов) инфраструктуры.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9. Финансово-экономическую модель инвестиционного проекта, получившего или планирующего получить статус регионального инвестиционного проекта в соответствии с Налоговым </w:t>
      </w:r>
      <w:hyperlink r:id="rId8" w:history="1">
        <w:r w:rsidRPr="004C045D">
          <w:t>кодексом</w:t>
        </w:r>
      </w:hyperlink>
      <w:r w:rsidRPr="004C045D">
        <w:t xml:space="preserve"> Российской Федерации (Собрание законодательства Российской Федерации, 1998, N 31, ст. 3824; 2015, N 1, ст. 15), рекомендуется рассчитывать с учетом и без учета льгот, предоставляемых региональному инвестиционному проекту.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10. Размер налоговых ставок, установленных или планируемых к утверждению для региональных инвестиционных проектов на территории субъекта Российской Федерации, в котором реализуется проект, рекомендуется приводить в динамике на срок прогнозирования.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11. Денежные потоки инвестиционного проекта рекомендуется представлять в финансово-экономической модели в номинальном выражении, с учетом темпов роста цен.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lastRenderedPageBreak/>
        <w:t>12. Принятые в финансово-экономической модели допущения рекомендуется обосновывать.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13. Все результаты расчетов в финансово-экономической модели рекомендуется приводить в рублях.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14. В финансово-экономическую модель рекомендуется включить расчет финансово-экономической и бюджетной эффективности проекта в соответствии с рекомендуемым образцом показателей, приведенных в </w:t>
      </w:r>
      <w:hyperlink w:anchor="P156" w:history="1">
        <w:r w:rsidRPr="004C045D">
          <w:t>Приложении N 1</w:t>
        </w:r>
      </w:hyperlink>
      <w:r w:rsidRPr="004C045D">
        <w:t xml:space="preserve"> к настоящим Методическим рекомендациям.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15. Рекомендуется, чтобы финансово-экономическая модель обеспечивала анализ чувствительности на всем периоде прогнозирования путем изменения следующих вводных параметров: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инвестиционные затраты по статьям;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финансовые затраты по статьям;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операционные затраты по статьям;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дата начала эксплуатации и дата начала предоставления услуг в полном объеме (если применимо);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индексы инфляции;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процентные ставки с выделением базовой ставки маржи и применимых премий и комиссий;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объем производства (продаж);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цены на продукцию (услуги).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16. В качестве финансовой модели инвестиционного проекта также может быть представлена модель, на основании которой банк принял решение о кредитовании инвестора инвестиционного проекта до вступления в силу </w:t>
      </w:r>
      <w:hyperlink r:id="rId9" w:history="1">
        <w:r w:rsidRPr="004C045D">
          <w:t>Методики</w:t>
        </w:r>
      </w:hyperlink>
      <w:r w:rsidRPr="004C045D">
        <w:t>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V. Рекомендации по оформлению справки-обоснования</w:t>
      </w:r>
    </w:p>
    <w:p w:rsidR="009C7609" w:rsidRPr="004C045D" w:rsidRDefault="009C7609">
      <w:pPr>
        <w:pStyle w:val="ConsPlusNormal"/>
        <w:jc w:val="center"/>
      </w:pPr>
      <w:r w:rsidRPr="004C045D">
        <w:t>по объектам инфраструктуры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17. При оформлении справки-обоснования по объектам инфраструктуры инвесторам инвестиционных проектов рекомендуется использовать следующую структуру документа: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а) обоснование необходимости создания (реконструкции) объекта (объектов) транспортной, инженерной, энергетической и социальной инфраструктуры (обоснование отсутствия альтернативных вариантов обеспечения инфраструктурой инвестиционного проекта);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б) схематический план размещения объекта (объектов) инфраструктуры на картографической основе;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в) обоснование необходимой мощности и технических характеристик объекта (объектов) инфраструктуры;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г) обоснование взаимосвязи объектов, создаваемых за счет средств частных инвесторов, и объекта (объектов) транспортной, инженерной и энергетической, социальной инфраструктуры, создаваемых за счет бюджетных средств;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д) информация о степени обоснованности объема необходимых затрат на создание/реконструкцию объекта (объектов) транспортной, инженерной, энергетической и социальной инфраструктуры (о подготовке, наличии утвержденной проектно-сметной </w:t>
      </w:r>
      <w:r w:rsidRPr="004C045D">
        <w:lastRenderedPageBreak/>
        <w:t>документации, результатов инженерных изысканий, положительного заключения государственной экспертизы проектно-сметной документации, положительного заключения о достоверности сметной стоимости, источников финансирования затрат на подготовку проектно-сметной документации (в случае ее отсутствия на момент подачи заявки));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е) информация о рассмотрении возможности создания (реконструкции) объекта (объектов) инфраструктуры за счет иных источников финансирования, помимо бюджетных ассигнований из федерального бюджета;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ж) обоснование величины затрат на создание (реконструкцию) объекта (объектов) транспортной, инженерной, энергетической и социальной инфраструктуры согласно рекомендуемому образцу, приведенному в </w:t>
      </w:r>
      <w:hyperlink w:anchor="P181" w:history="1">
        <w:r w:rsidRPr="004C045D">
          <w:t>Приложении N 2</w:t>
        </w:r>
      </w:hyperlink>
      <w:r w:rsidRPr="004C045D">
        <w:t xml:space="preserve"> к настоящим Методическим рекомендациям;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з) график затрат на создание (реконструкцию) объекта (объектов) транспортной, инженерной, энергетической и социальной инфраструктуры согласно рекомендуемому образцу, приведенному в </w:t>
      </w:r>
      <w:hyperlink w:anchor="P299" w:history="1">
        <w:r w:rsidRPr="004C045D">
          <w:t>Приложении N 3</w:t>
        </w:r>
      </w:hyperlink>
      <w:r w:rsidRPr="004C045D">
        <w:t xml:space="preserve"> к настоящим Методическим рекомендациям.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VI. Рекомендации по оформлению заключения,</w:t>
      </w:r>
    </w:p>
    <w:p w:rsidR="009C7609" w:rsidRPr="004C045D" w:rsidRDefault="009C7609">
      <w:pPr>
        <w:pStyle w:val="ConsPlusNormal"/>
        <w:jc w:val="center"/>
      </w:pPr>
      <w:r w:rsidRPr="004C045D">
        <w:t>подтверждающего корректность расчетов бизнес-плана</w:t>
      </w:r>
    </w:p>
    <w:p w:rsidR="009C7609" w:rsidRPr="004C045D" w:rsidRDefault="009C7609">
      <w:pPr>
        <w:pStyle w:val="ConsPlusNormal"/>
        <w:jc w:val="center"/>
      </w:pPr>
      <w:r w:rsidRPr="004C045D">
        <w:t>и финансово-экономической модели, содержащего оценку</w:t>
      </w:r>
    </w:p>
    <w:p w:rsidR="009C7609" w:rsidRPr="004C045D" w:rsidRDefault="009C7609">
      <w:pPr>
        <w:pStyle w:val="ConsPlusNormal"/>
        <w:jc w:val="center"/>
      </w:pPr>
      <w:r w:rsidRPr="004C045D">
        <w:t>рисков, оценку бюджетной эффективности</w:t>
      </w:r>
    </w:p>
    <w:p w:rsidR="009C7609" w:rsidRPr="004C045D" w:rsidRDefault="009C7609">
      <w:pPr>
        <w:pStyle w:val="ConsPlusNormal"/>
        <w:jc w:val="center"/>
      </w:pPr>
      <w:r w:rsidRPr="004C045D">
        <w:t>инвестиционного проекта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 xml:space="preserve">18. Заключение, подтверждающее корректность расчетов бизнес-плана и финансово-экономической модели, содержащее оценку рисков, оценку бюджетной эффективности инвестиционного проекта (далее - заключение), рекомендуется разрабатывать с учетом требований </w:t>
      </w:r>
      <w:hyperlink r:id="rId10" w:history="1">
        <w:r w:rsidRPr="004C045D">
          <w:t>подпункта "б" пункта 7</w:t>
        </w:r>
      </w:hyperlink>
      <w:r w:rsidRPr="004C045D">
        <w:t xml:space="preserve"> Методики.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19. В заключении рекомендуется указывать: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а) обоснование корректности расчетов бизнес-плана и финансово-экономической модели;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б) обоснование инвестиционной целесообразности и эффективности инвестиционного проекта;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в) обоснование технологической и экономической осуществимости инвестиционного проекта;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г) обоснование допущений, принятых в бизнес-плане и финансово-экономической модели;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д) сведения об оценке рисков инвестиционного проекта;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е) сведения об оценке бюджетной эффективности инвестиционного проекта, анализе инвестиционного проекта на предмет соответствия условию, указанному в </w:t>
      </w:r>
      <w:hyperlink r:id="rId11" w:history="1">
        <w:r w:rsidRPr="004C045D">
          <w:t>подпункте "е" пункта 5</w:t>
        </w:r>
      </w:hyperlink>
      <w:r w:rsidRPr="004C045D">
        <w:t xml:space="preserve"> Методики;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ж) сведения об анализе финансовой состоятельности инвестора инвестиционного проекта;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з) сведения о достаточности обеспечения инвестиционного проекта всеми видами объектов инфраструктуры, необходимыми для реализации проекта;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и) сведения об обоснованности характеристик инфраструктуры;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к) сведения о наличии подтверждения источников финансирования создания объектов инфраструктуры;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lastRenderedPageBreak/>
        <w:t>л) сведения о степени риска недостаточности обеспечения инвестиционного проекта другими видами инфраструктуры, помимо объекта (объектов) инфраструктуры, в отношении которого (которых) инвестор заявляет необходимость в бюджетных инвестициях.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VII. Рекомендации по оформлению обоснований</w:t>
      </w:r>
    </w:p>
    <w:p w:rsidR="009C7609" w:rsidRPr="004C045D" w:rsidRDefault="009C7609">
      <w:pPr>
        <w:pStyle w:val="ConsPlusNormal"/>
        <w:jc w:val="center"/>
      </w:pPr>
      <w:r w:rsidRPr="004C045D">
        <w:t>бюджетных ассигнований на реализацию инвестиционного</w:t>
      </w:r>
    </w:p>
    <w:p w:rsidR="009C7609" w:rsidRPr="004C045D" w:rsidRDefault="009C7609">
      <w:pPr>
        <w:pStyle w:val="ConsPlusNormal"/>
        <w:jc w:val="center"/>
      </w:pPr>
      <w:r w:rsidRPr="004C045D">
        <w:t>проекта (паспорта инвестиционного проекта)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 xml:space="preserve">20. Паспорт инвестиционного проекта рекомендуется оформлять по </w:t>
      </w:r>
      <w:hyperlink r:id="rId12" w:history="1">
        <w:r w:rsidRPr="004C045D">
          <w:t>форме</w:t>
        </w:r>
      </w:hyperlink>
      <w:r w:rsidRPr="004C045D">
        <w:t>, утвержденной Министерством финансов Российской Федерации &lt;1&gt;.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--------------------------------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&lt;1&gt; </w:t>
      </w:r>
      <w:hyperlink r:id="rId13" w:history="1">
        <w:r w:rsidRPr="004C045D">
          <w:t>Приложение N 53</w:t>
        </w:r>
      </w:hyperlink>
      <w:r w:rsidRPr="004C045D">
        <w:t xml:space="preserve"> к Порядку представления главными распорядителями средств федерального бюджета обоснований бюджетных ассигнований, утвержденному приказом Министерства финансов Российской Федерации от 25 декабря 2013 г. N 137н (зарегистрирован Минюстом России 07.02.2014, регистрационный номер 31254).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 xml:space="preserve">20.1. При заполнении </w:t>
      </w:r>
      <w:hyperlink r:id="rId14" w:history="1">
        <w:r w:rsidRPr="004C045D">
          <w:t>раздела 1.2</w:t>
        </w:r>
      </w:hyperlink>
      <w:r w:rsidRPr="004C045D">
        <w:t xml:space="preserve"> "Задачи реализации инвестиционного проекта" рекомендуется указывать сведения: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а) об объеме инвестиций в инвестиционный проект в разрезе источников финансирования;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б) об объеме осуществленных и планируемых частных и бюджетных инвестиций в инвестиционный проект;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в) о количестве создаваемых рабочих мест;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г) о годе выхода инвестиционного проекта на проектную мощность;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д) о величине добавленной стоимости на второй год после выхода инвестиционного проекта на проектную мощность;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е) иные существенные показатели, достигаемые в результате реализации инвестиционного проекта.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20.2. При заполнении </w:t>
      </w:r>
      <w:hyperlink r:id="rId15" w:history="1">
        <w:r w:rsidRPr="004C045D">
          <w:t>раздела 3</w:t>
        </w:r>
      </w:hyperlink>
      <w:r w:rsidRPr="004C045D">
        <w:t xml:space="preserve"> "Вклад реализации инвестиционного проекта (мероприятия) в достижение значений целевого показателя (индикатора) государственной программы Российской Федерации" рекомендуется указывать сведения: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а) об объеме налоговых поступлений, которые поступят в результате реализации инвестиционного проекта, в течение срока реализации инвестиционного проекта по годам;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б) об объеме взносов в государственные внебюджетные фонды, которые поступят в результате реализации инвестиционного проекта, в течение срока реализации инвестиционного проекта по годам.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20.3. При заполнении раздела 7.1 "Собственные средства участников инвестиционного проекта (мероприятия)" рекомендуется указывать суммы уже осуществленных и планируемых инвестиций по инвестиционному проекту за счет собственных средств инвестора проекта.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20.4. При заполнении </w:t>
      </w:r>
      <w:hyperlink r:id="rId16" w:history="1">
        <w:r w:rsidRPr="004C045D">
          <w:t>раздела 7.2</w:t>
        </w:r>
      </w:hyperlink>
      <w:r w:rsidRPr="004C045D">
        <w:t xml:space="preserve"> "Кредитные и заемные средства на реализацию инвестиционного проекта (мероприятия)" рекомендуется указывать суммы уже осуществленных и планируемых инвестиций по инвестиционному проекту за счет заемных средств.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 xml:space="preserve">20.5. При заполнении </w:t>
      </w:r>
      <w:hyperlink r:id="rId17" w:history="1">
        <w:r w:rsidRPr="004C045D">
          <w:t>раздела 7.3</w:t>
        </w:r>
      </w:hyperlink>
      <w:r w:rsidRPr="004C045D">
        <w:t xml:space="preserve"> "Бюджетные ассигнования федерального бюджета на </w:t>
      </w:r>
      <w:r w:rsidRPr="004C045D">
        <w:lastRenderedPageBreak/>
        <w:t>реализацию инвестиционного проекта (мероприятия)" рекомендуется указывать суммы осуществленных и планируемых бюджетных инвестиций, в том числе по их источникам.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VIII. Рекомендации по оформлению расчета сметной стоимости</w:t>
      </w:r>
    </w:p>
    <w:p w:rsidR="009C7609" w:rsidRPr="004C045D" w:rsidRDefault="009C7609">
      <w:pPr>
        <w:pStyle w:val="ConsPlusNormal"/>
        <w:jc w:val="center"/>
      </w:pPr>
      <w:r w:rsidRPr="004C045D">
        <w:t>объектов инфраструктуры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21. При оформлении расчета сметной стоимости объектов инфраструктуры инвесторам инвестиционных проектов рекомендуется указывать сведения о составе, объеме и стоимости видов работ по созданию объектов инфраструктуры, необходимых для реализации инвестиционного проекта.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IX. Рекомендации по оформлению письменной гарантии</w:t>
      </w:r>
    </w:p>
    <w:p w:rsidR="009C7609" w:rsidRPr="004C045D" w:rsidRDefault="009C7609">
      <w:pPr>
        <w:pStyle w:val="ConsPlusNormal"/>
        <w:jc w:val="center"/>
      </w:pPr>
      <w:r w:rsidRPr="004C045D">
        <w:t>инвестора инвестиционного проекта о готовности подписания</w:t>
      </w:r>
    </w:p>
    <w:p w:rsidR="009C7609" w:rsidRPr="004C045D" w:rsidRDefault="009C7609">
      <w:pPr>
        <w:pStyle w:val="ConsPlusNormal"/>
        <w:jc w:val="center"/>
      </w:pPr>
      <w:r w:rsidRPr="004C045D">
        <w:t>инвестиционного соглашения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22. При оформлении письменной гарантии инвестора инвестиционного проекта о готовности подписания инвестиционного соглашения инвестору инвестиционного проекта рекомендуется указывать свое безусловное согласие на подписание инвестиционного соглашения.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jc w:val="center"/>
        <w:outlineLvl w:val="1"/>
      </w:pPr>
      <w:r w:rsidRPr="004C045D">
        <w:t>X. Рекомендации по оформлению документального</w:t>
      </w:r>
    </w:p>
    <w:p w:rsidR="009C7609" w:rsidRPr="004C045D" w:rsidRDefault="009C7609">
      <w:pPr>
        <w:pStyle w:val="ConsPlusNormal"/>
        <w:jc w:val="center"/>
      </w:pPr>
      <w:r w:rsidRPr="004C045D">
        <w:t xml:space="preserve">подтверждения со стороны </w:t>
      </w:r>
      <w:proofErr w:type="spellStart"/>
      <w:r w:rsidRPr="004C045D">
        <w:t>соинвестора</w:t>
      </w:r>
      <w:proofErr w:type="spellEnd"/>
      <w:r w:rsidRPr="004C045D">
        <w:t xml:space="preserve"> (</w:t>
      </w:r>
      <w:proofErr w:type="spellStart"/>
      <w:r w:rsidRPr="004C045D">
        <w:t>соинвесторов</w:t>
      </w:r>
      <w:proofErr w:type="spellEnd"/>
      <w:r w:rsidRPr="004C045D">
        <w:t>)</w:t>
      </w:r>
    </w:p>
    <w:p w:rsidR="009C7609" w:rsidRPr="004C045D" w:rsidRDefault="009C7609">
      <w:pPr>
        <w:pStyle w:val="ConsPlusNormal"/>
        <w:jc w:val="center"/>
      </w:pPr>
      <w:r w:rsidRPr="004C045D">
        <w:t>инвестиционного проекта и (или) кредитных организаций</w:t>
      </w:r>
    </w:p>
    <w:p w:rsidR="009C7609" w:rsidRPr="004C045D" w:rsidRDefault="009C7609">
      <w:pPr>
        <w:pStyle w:val="ConsPlusNormal"/>
        <w:jc w:val="center"/>
      </w:pPr>
      <w:r w:rsidRPr="004C045D">
        <w:t>о готовности предоставить финансирование для покрытия той</w:t>
      </w:r>
    </w:p>
    <w:p w:rsidR="009C7609" w:rsidRPr="004C045D" w:rsidRDefault="009C7609">
      <w:pPr>
        <w:pStyle w:val="ConsPlusNormal"/>
        <w:jc w:val="center"/>
      </w:pPr>
      <w:r w:rsidRPr="004C045D">
        <w:t>доли полной стоимости инвестиционного проекта, которая</w:t>
      </w:r>
    </w:p>
    <w:p w:rsidR="009C7609" w:rsidRPr="004C045D" w:rsidRDefault="009C7609">
      <w:pPr>
        <w:pStyle w:val="ConsPlusNormal"/>
        <w:jc w:val="center"/>
      </w:pPr>
      <w:r w:rsidRPr="004C045D">
        <w:t>не обеспечена государственной поддержкой и собственными</w:t>
      </w:r>
    </w:p>
    <w:p w:rsidR="009C7609" w:rsidRPr="004C045D" w:rsidRDefault="009C7609">
      <w:pPr>
        <w:pStyle w:val="ConsPlusNormal"/>
        <w:jc w:val="center"/>
      </w:pPr>
      <w:r w:rsidRPr="004C045D">
        <w:t>средствами инвестора инвестиционного проекта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 xml:space="preserve">23. Документальное подтверждение со стороны </w:t>
      </w:r>
      <w:proofErr w:type="spellStart"/>
      <w:r w:rsidRPr="004C045D">
        <w:t>соинвестора</w:t>
      </w:r>
      <w:proofErr w:type="spellEnd"/>
      <w:r w:rsidRPr="004C045D">
        <w:t xml:space="preserve"> (</w:t>
      </w:r>
      <w:proofErr w:type="spellStart"/>
      <w:r w:rsidRPr="004C045D">
        <w:t>соинвесторов</w:t>
      </w:r>
      <w:proofErr w:type="spellEnd"/>
      <w:r w:rsidRPr="004C045D">
        <w:t>) инвестиционного проекта и (или) кредитных организаций о готовности предоставить финансирование для покрытия той доли полной стоимости инвестиционного проекта, которая не обеспечена государственной поддержкой и собственными средствами инвестора инвестиционного проекта, рекомендуется оформлять в виде соглашения, кредитного договора или письменной гарантии.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  <w:r w:rsidRPr="004C045D">
        <w:t>Приложение N 1</w:t>
      </w:r>
    </w:p>
    <w:p w:rsidR="009C7609" w:rsidRPr="004C045D" w:rsidRDefault="009C7609">
      <w:pPr>
        <w:pStyle w:val="ConsPlusNormal"/>
        <w:jc w:val="right"/>
      </w:pPr>
      <w:r w:rsidRPr="004C045D">
        <w:t>к Методическим рекомендациям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center"/>
      </w:pPr>
      <w:bookmarkStart w:id="2" w:name="P156"/>
      <w:bookmarkEnd w:id="2"/>
      <w:r w:rsidRPr="004C045D">
        <w:lastRenderedPageBreak/>
        <w:t>РЕКОМЕНДУЕМЫЙ ОБРАЗЕЦ ПОКАЗАТЕЛЕЙ</w:t>
      </w:r>
    </w:p>
    <w:p w:rsidR="009C7609" w:rsidRPr="004C045D" w:rsidRDefault="009C7609">
      <w:pPr>
        <w:pStyle w:val="ConsPlusNormal"/>
        <w:jc w:val="center"/>
      </w:pPr>
      <w:r w:rsidRPr="004C045D">
        <w:t>ФИНАНСОВО-ЭКОНОМИЧЕСКОЙ ЭФФЕКТИВНОСТИ И БЮДЖЕТНОЙ</w:t>
      </w:r>
    </w:p>
    <w:p w:rsidR="009C7609" w:rsidRPr="004C045D" w:rsidRDefault="009C7609">
      <w:pPr>
        <w:pStyle w:val="ConsPlusNormal"/>
        <w:jc w:val="center"/>
      </w:pPr>
      <w:r w:rsidRPr="004C045D">
        <w:t>ЭФФЕКТИВНОСТИ ИНВЕСТИЦИОННОГО ПРОЕКТА</w:t>
      </w:r>
    </w:p>
    <w:p w:rsidR="009C7609" w:rsidRPr="004C045D" w:rsidRDefault="009C7609">
      <w:pPr>
        <w:pStyle w:val="ConsPlusNormal"/>
        <w:jc w:val="center"/>
      </w:pPr>
    </w:p>
    <w:p w:rsidR="009C7609" w:rsidRPr="004C045D" w:rsidRDefault="009C7609">
      <w:pPr>
        <w:pStyle w:val="ConsPlusNormal"/>
        <w:ind w:firstLine="540"/>
        <w:jc w:val="both"/>
        <w:outlineLvl w:val="2"/>
      </w:pPr>
      <w:r w:rsidRPr="004C045D">
        <w:t>1. Рекомендуемые показатели финансово-экономической эффективности инвестиционного проекта: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Чистая приведенная стоимость;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Внутренняя норма доходности;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Период окупаемости инвестиций;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Дисконтированный период окупаемости;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Коэффициент удельной эффективности инвестиционного проекта.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  <w:outlineLvl w:val="2"/>
      </w:pPr>
      <w:r w:rsidRPr="004C045D">
        <w:t>2. Рекомендуемые показатели бюджетной эффективности инвестиционного проекта: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Коэффициент чистой приведенной стоимости бюджета;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Внутренняя норма доходности бюджета;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Период окупаемости бюджета;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Дисконтированный период окупаемости бюджета;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r w:rsidRPr="004C045D">
        <w:t>Коэффициент удельной бюджетной эффективности.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 w:rsidP="009C7609">
      <w:pPr>
        <w:pStyle w:val="ConsPlusNormal"/>
        <w:jc w:val="right"/>
        <w:outlineLvl w:val="1"/>
        <w:sectPr w:rsidR="009C7609" w:rsidRPr="004C045D" w:rsidSect="00583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609" w:rsidRPr="004C045D" w:rsidRDefault="009C7609" w:rsidP="009C7609">
      <w:pPr>
        <w:pStyle w:val="ConsPlusNormal"/>
        <w:jc w:val="right"/>
        <w:outlineLvl w:val="1"/>
      </w:pPr>
      <w:r w:rsidRPr="004C045D">
        <w:lastRenderedPageBreak/>
        <w:t>Приложение N 2</w:t>
      </w:r>
    </w:p>
    <w:p w:rsidR="009C7609" w:rsidRPr="004C045D" w:rsidRDefault="009C7609" w:rsidP="009C7609">
      <w:pPr>
        <w:pStyle w:val="ConsPlusNormal"/>
        <w:jc w:val="right"/>
      </w:pPr>
      <w:r w:rsidRPr="004C045D">
        <w:t>к Методическим рекомендациям</w:t>
      </w:r>
    </w:p>
    <w:p w:rsidR="009C7609" w:rsidRPr="004C045D" w:rsidRDefault="009C7609" w:rsidP="009C7609">
      <w:pPr>
        <w:pStyle w:val="ConsPlusNormal"/>
        <w:jc w:val="both"/>
      </w:pPr>
    </w:p>
    <w:p w:rsidR="009C7609" w:rsidRPr="004C045D" w:rsidRDefault="009C7609" w:rsidP="009C7609">
      <w:pPr>
        <w:pStyle w:val="ConsPlusNonformat"/>
        <w:jc w:val="center"/>
      </w:pPr>
      <w:bookmarkStart w:id="3" w:name="P181"/>
      <w:bookmarkEnd w:id="3"/>
      <w:r w:rsidRPr="004C045D">
        <w:t>Рекомендуемый образец обоснования</w:t>
      </w:r>
    </w:p>
    <w:p w:rsidR="009C7609" w:rsidRPr="004C045D" w:rsidRDefault="009C7609" w:rsidP="009C7609">
      <w:pPr>
        <w:pStyle w:val="ConsPlusNonformat"/>
        <w:jc w:val="center"/>
      </w:pPr>
      <w:r w:rsidRPr="004C045D">
        <w:t>величины затрат на создание (реконструкцию) объектов транспортной,</w:t>
      </w:r>
    </w:p>
    <w:p w:rsidR="009C7609" w:rsidRPr="004C045D" w:rsidRDefault="009C7609" w:rsidP="009C7609">
      <w:pPr>
        <w:pStyle w:val="ConsPlusNonformat"/>
        <w:jc w:val="center"/>
      </w:pPr>
      <w:r w:rsidRPr="004C045D">
        <w:t>инженерной и энергетической, социальной инфраструктуры</w:t>
      </w:r>
    </w:p>
    <w:p w:rsidR="009C7609" w:rsidRPr="004C045D" w:rsidRDefault="009C7609" w:rsidP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jc w:val="both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276"/>
        <w:gridCol w:w="1386"/>
        <w:gridCol w:w="1307"/>
        <w:gridCol w:w="1418"/>
        <w:gridCol w:w="1417"/>
        <w:gridCol w:w="1701"/>
        <w:gridCol w:w="1843"/>
        <w:gridCol w:w="1843"/>
      </w:tblGrid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N п/п</w:t>
            </w: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 xml:space="preserve">Наименование объекта инфраструктуры </w:t>
            </w:r>
            <w:hyperlink w:anchor="P286" w:history="1">
              <w:r w:rsidRPr="004C045D">
                <w:t>&lt;1&gt;</w:t>
              </w:r>
            </w:hyperlink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 xml:space="preserve">Мощность объекта </w:t>
            </w:r>
            <w:hyperlink w:anchor="P287" w:history="1">
              <w:r w:rsidRPr="004C045D">
                <w:t>&lt;2&gt;</w:t>
              </w:r>
            </w:hyperlink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Единица измерения мощности объекта</w:t>
            </w: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Удельный показатель кап. затрат на единицу мощности объекта-аналога, руб./ед.</w:t>
            </w:r>
          </w:p>
          <w:p w:rsidR="009C7609" w:rsidRPr="004C045D" w:rsidRDefault="009C7609">
            <w:pPr>
              <w:pStyle w:val="ConsPlusNormal"/>
              <w:jc w:val="center"/>
            </w:pPr>
            <w:r w:rsidRPr="004C045D">
              <w:t xml:space="preserve">мощности </w:t>
            </w:r>
            <w:hyperlink w:anchor="P288" w:history="1">
              <w:r w:rsidRPr="004C045D">
                <w:t>&lt;3&gt;</w:t>
              </w:r>
            </w:hyperlink>
            <w:r w:rsidRPr="004C045D">
              <w:t xml:space="preserve"> без учета НДС</w:t>
            </w: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Дата, на которую определены кап. затраты по объекту-аналогу</w:t>
            </w: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Источник информации об удельной стоимости объекта-аналога</w:t>
            </w: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 xml:space="preserve">Индекс изменения стоимости СМР с даты определения кап. затрат по объекту-аналогу </w:t>
            </w:r>
            <w:hyperlink w:anchor="P289" w:history="1">
              <w:r w:rsidRPr="004C045D">
                <w:t>&lt;4&gt;</w:t>
              </w:r>
            </w:hyperlink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Корректировка на отличие объекта инфраструктуры от объекта-аналога (%)</w:t>
            </w: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Величина затрат на создание (реконструкцию) объекта инфраструктуры, руб. в текущих ценах, без НДС</w:t>
            </w: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 xml:space="preserve">Величина затрат на создание (реконструкцию) объекта инфраструктуры, руб. в прогнозных ценах </w:t>
            </w:r>
            <w:hyperlink w:anchor="P290" w:history="1">
              <w:r w:rsidRPr="004C045D">
                <w:t>&lt;5&gt;</w:t>
              </w:r>
            </w:hyperlink>
            <w:r w:rsidRPr="004C045D">
              <w:t>, без НДС</w:t>
            </w:r>
          </w:p>
        </w:tc>
      </w:tr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 w:rsidTr="009C7609">
        <w:tc>
          <w:tcPr>
            <w:tcW w:w="56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13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27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86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30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8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417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70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843" w:type="dxa"/>
          </w:tcPr>
          <w:p w:rsidR="009C7609" w:rsidRPr="004C045D" w:rsidRDefault="009C7609">
            <w:pPr>
              <w:pStyle w:val="ConsPlusNormal"/>
            </w:pPr>
          </w:p>
        </w:tc>
      </w:tr>
    </w:tbl>
    <w:p w:rsidR="009C7609" w:rsidRPr="004C045D" w:rsidRDefault="009C7609">
      <w:pPr>
        <w:pStyle w:val="ConsPlusNormal"/>
        <w:jc w:val="both"/>
      </w:pPr>
    </w:p>
    <w:p w:rsidR="009C7609" w:rsidRPr="004C045D" w:rsidRDefault="009C7609" w:rsidP="009C7609">
      <w:pPr>
        <w:pStyle w:val="ConsPlusNonformat"/>
        <w:jc w:val="both"/>
      </w:pPr>
      <w:r w:rsidRPr="004C045D">
        <w:t>&lt;*&gt; В случае наличия проектно-сметной документации (далее - ПСД) с/без положительного заключения государственной экспертизы по объекту инфраструктуры рекомендуется приводить сводный сметный расчет из ПСД с корректировкой (при необходимости) на индекс изменения стоимости строительно-монтажных работ, а также дополнительный расчет стоимости СМР в прогнозных ценах.</w:t>
      </w:r>
    </w:p>
    <w:p w:rsidR="009C7609" w:rsidRPr="004C045D" w:rsidRDefault="009C7609">
      <w:pPr>
        <w:pStyle w:val="ConsPlusNonformat"/>
        <w:jc w:val="both"/>
      </w:pPr>
    </w:p>
    <w:p w:rsidR="009C7609" w:rsidRPr="004C045D" w:rsidRDefault="009C7609">
      <w:pPr>
        <w:pStyle w:val="ConsPlusNonformat"/>
        <w:jc w:val="both"/>
      </w:pPr>
    </w:p>
    <w:p w:rsidR="009C7609" w:rsidRPr="004C045D" w:rsidRDefault="009C7609">
      <w:pPr>
        <w:pStyle w:val="ConsPlusNonformat"/>
        <w:jc w:val="both"/>
      </w:pPr>
    </w:p>
    <w:p w:rsidR="009C7609" w:rsidRPr="004C045D" w:rsidRDefault="009C7609" w:rsidP="009C7609">
      <w:pPr>
        <w:pStyle w:val="ConsPlusNonformat"/>
        <w:ind w:firstLine="708"/>
        <w:jc w:val="both"/>
      </w:pPr>
      <w:r w:rsidRPr="004C045D">
        <w:t>Дополнительно (при наличии проектно-сметной документации) рекомендуется заполнять следующую таблицу:</w:t>
      </w:r>
    </w:p>
    <w:p w:rsidR="009C7609" w:rsidRPr="004C045D" w:rsidRDefault="009C7609">
      <w:pPr>
        <w:pStyle w:val="ConsPlusNormal"/>
        <w:jc w:val="both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233"/>
        <w:gridCol w:w="3402"/>
        <w:gridCol w:w="3543"/>
        <w:gridCol w:w="4395"/>
      </w:tblGrid>
      <w:tr w:rsidR="004C045D" w:rsidRPr="004C045D" w:rsidTr="009C7609">
        <w:tc>
          <w:tcPr>
            <w:tcW w:w="595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N п/п</w:t>
            </w:r>
          </w:p>
        </w:tc>
        <w:tc>
          <w:tcPr>
            <w:tcW w:w="3233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Наименование объекта</w:t>
            </w:r>
          </w:p>
        </w:tc>
        <w:tc>
          <w:tcPr>
            <w:tcW w:w="3402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Кем, когда разработана проектная документация (реквизиты документа, наименование проектной организации)</w:t>
            </w:r>
          </w:p>
        </w:tc>
        <w:tc>
          <w:tcPr>
            <w:tcW w:w="3543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Кем, когда выдано положительное заключение государственной экспертизы (реквизиты документа, наименование организации)</w:t>
            </w:r>
          </w:p>
        </w:tc>
        <w:tc>
          <w:tcPr>
            <w:tcW w:w="4395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Кем, когда утверждена проектная документация (реквизиты документа, наименование ведомства)</w:t>
            </w:r>
          </w:p>
        </w:tc>
      </w:tr>
      <w:tr w:rsidR="004C045D" w:rsidRPr="004C045D" w:rsidTr="009C7609">
        <w:tc>
          <w:tcPr>
            <w:tcW w:w="595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23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402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5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4395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 w:rsidTr="009C7609">
        <w:tc>
          <w:tcPr>
            <w:tcW w:w="595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23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402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3543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4395" w:type="dxa"/>
          </w:tcPr>
          <w:p w:rsidR="009C7609" w:rsidRPr="004C045D" w:rsidRDefault="009C7609">
            <w:pPr>
              <w:pStyle w:val="ConsPlusNormal"/>
            </w:pPr>
          </w:p>
        </w:tc>
      </w:tr>
    </w:tbl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nformat"/>
        <w:jc w:val="both"/>
      </w:pPr>
      <w:r w:rsidRPr="004C045D">
        <w:t>Участник отбора</w:t>
      </w:r>
    </w:p>
    <w:p w:rsidR="009C7609" w:rsidRPr="004C045D" w:rsidRDefault="009C7609">
      <w:pPr>
        <w:pStyle w:val="ConsPlusNonformat"/>
        <w:jc w:val="both"/>
      </w:pPr>
      <w:r w:rsidRPr="004C045D">
        <w:t>_____________________      ______________   _______________________________</w:t>
      </w:r>
    </w:p>
    <w:p w:rsidR="009C7609" w:rsidRPr="004C045D" w:rsidRDefault="009C7609">
      <w:pPr>
        <w:pStyle w:val="ConsPlusNonformat"/>
        <w:jc w:val="both"/>
      </w:pPr>
      <w:r w:rsidRPr="004C045D">
        <w:t xml:space="preserve">    (</w:t>
      </w:r>
      <w:proofErr w:type="gramStart"/>
      <w:r w:rsidRPr="004C045D">
        <w:t xml:space="preserve">Должность)   </w:t>
      </w:r>
      <w:proofErr w:type="gramEnd"/>
      <w:r w:rsidRPr="004C045D">
        <w:t xml:space="preserve">            (подпись)        (Фамилия, имя, отчество)</w:t>
      </w:r>
    </w:p>
    <w:p w:rsidR="009C7609" w:rsidRPr="004C045D" w:rsidRDefault="009C7609">
      <w:pPr>
        <w:pStyle w:val="ConsPlusNonformat"/>
        <w:jc w:val="both"/>
      </w:pPr>
    </w:p>
    <w:p w:rsidR="009C7609" w:rsidRPr="004C045D" w:rsidRDefault="009C7609">
      <w:pPr>
        <w:pStyle w:val="ConsPlusNonformat"/>
        <w:jc w:val="both"/>
      </w:pPr>
      <w:r w:rsidRPr="004C045D">
        <w:t>М.П.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--------------------------------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bookmarkStart w:id="4" w:name="P286"/>
      <w:bookmarkEnd w:id="4"/>
      <w:r w:rsidRPr="004C045D">
        <w:t>&lt;1&gt; Рекомендуется указывать тип объекта, для точечных объектов - адресные ориентиры, для линейных объектов - начальная и конечная точки объекта.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bookmarkStart w:id="5" w:name="P287"/>
      <w:bookmarkEnd w:id="5"/>
      <w:r w:rsidRPr="004C045D">
        <w:t>&lt;2&gt; Техническая, ресурсная мощность объекта в единицах измерения - МВт, км, куб. м/год и т.д.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bookmarkStart w:id="6" w:name="P288"/>
      <w:bookmarkEnd w:id="6"/>
      <w:r w:rsidRPr="004C045D">
        <w:t xml:space="preserve">&lt;3&gt; Объект-аналог рекомендуется определять как объект, максимально близкий по характеристикам объект, фактически построенный в том же либо схожем климатическом районе/регионе (в этом случае рекомендуется приводить информацию о фактической величине кап. вложений по объекту) либо объект с аналогичными характеристиками в соответствии с утвержденными укрупненными нормативами цен строительства (НЦС) по приложениям к </w:t>
      </w:r>
      <w:hyperlink r:id="rId18" w:history="1">
        <w:r w:rsidRPr="004C045D">
          <w:t>Приказу</w:t>
        </w:r>
      </w:hyperlink>
      <w:r w:rsidRPr="004C045D">
        <w:t xml:space="preserve"> Министерства регионального развития РФ от 30 декабря 2011 г. N 643 (приказ в государственной регистрации не нуждается - письмо Минюста России от 01.03.2015 N 01/15576-ВЕ), ТЕР, ФЕР.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bookmarkStart w:id="7" w:name="P289"/>
      <w:bookmarkEnd w:id="7"/>
      <w:r w:rsidRPr="004C045D">
        <w:t>&lt;4&gt; В соответствии с установленным порядком.</w:t>
      </w:r>
    </w:p>
    <w:p w:rsidR="009C7609" w:rsidRPr="004C045D" w:rsidRDefault="009C7609" w:rsidP="009C7609">
      <w:pPr>
        <w:pStyle w:val="ConsPlusNormal"/>
        <w:spacing w:before="220"/>
        <w:ind w:firstLine="540"/>
        <w:jc w:val="both"/>
      </w:pPr>
      <w:bookmarkStart w:id="8" w:name="P290"/>
      <w:bookmarkEnd w:id="8"/>
      <w:r w:rsidRPr="004C045D">
        <w:t>&lt;5&gt; С использованием прогнозных индексов-дефляторов инвестиций в форме капитальных вложений Минэкономразвития России.</w:t>
      </w:r>
    </w:p>
    <w:p w:rsidR="009C7609" w:rsidRPr="004C045D" w:rsidRDefault="009C7609">
      <w:pPr>
        <w:pStyle w:val="ConsPlusNormal"/>
        <w:jc w:val="right"/>
        <w:outlineLvl w:val="1"/>
      </w:pPr>
    </w:p>
    <w:p w:rsidR="009C7609" w:rsidRPr="004C045D" w:rsidRDefault="009C7609">
      <w:pPr>
        <w:pStyle w:val="ConsPlusNormal"/>
        <w:jc w:val="right"/>
        <w:outlineLvl w:val="1"/>
      </w:pPr>
      <w:r w:rsidRPr="004C045D">
        <w:lastRenderedPageBreak/>
        <w:t>Приложение N 3</w:t>
      </w:r>
    </w:p>
    <w:p w:rsidR="009C7609" w:rsidRPr="004C045D" w:rsidRDefault="009C7609">
      <w:pPr>
        <w:pStyle w:val="ConsPlusNormal"/>
        <w:jc w:val="right"/>
      </w:pPr>
      <w:r w:rsidRPr="004C045D">
        <w:t>к Методическим рекомендациям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nformat"/>
        <w:jc w:val="both"/>
      </w:pPr>
      <w:bookmarkStart w:id="9" w:name="P299"/>
      <w:bookmarkEnd w:id="9"/>
      <w:r w:rsidRPr="004C045D">
        <w:t xml:space="preserve">                       Рекомендуемый образец графика</w:t>
      </w:r>
    </w:p>
    <w:p w:rsidR="009C7609" w:rsidRPr="004C045D" w:rsidRDefault="009C7609">
      <w:pPr>
        <w:pStyle w:val="ConsPlusNonformat"/>
        <w:jc w:val="both"/>
      </w:pPr>
      <w:r w:rsidRPr="004C045D">
        <w:t xml:space="preserve">    затрат на создание (реконструкцию) объекта (объектов) транспортной,</w:t>
      </w:r>
    </w:p>
    <w:p w:rsidR="009C7609" w:rsidRPr="004C045D" w:rsidRDefault="009C7609">
      <w:pPr>
        <w:pStyle w:val="ConsPlusNonformat"/>
        <w:jc w:val="both"/>
      </w:pPr>
      <w:r w:rsidRPr="004C045D">
        <w:t xml:space="preserve">          инженерной и энергетической, социальной инфраструктуры</w:t>
      </w:r>
    </w:p>
    <w:p w:rsidR="009C7609" w:rsidRPr="004C045D" w:rsidRDefault="009C7609">
      <w:pPr>
        <w:pStyle w:val="ConsPlusNonformat"/>
        <w:jc w:val="both"/>
      </w:pPr>
    </w:p>
    <w:p w:rsidR="009C7609" w:rsidRPr="004C045D" w:rsidRDefault="009C7609">
      <w:pPr>
        <w:pStyle w:val="ConsPlusNonformat"/>
        <w:jc w:val="both"/>
      </w:pPr>
      <w:r w:rsidRPr="004C045D">
        <w:t>Наименование объекта (объектов) инфраструктуры &lt;1&gt;:</w:t>
      </w:r>
    </w:p>
    <w:p w:rsidR="009C7609" w:rsidRPr="004C045D" w:rsidRDefault="009C760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960"/>
        <w:gridCol w:w="961"/>
        <w:gridCol w:w="960"/>
        <w:gridCol w:w="961"/>
        <w:gridCol w:w="960"/>
        <w:gridCol w:w="961"/>
        <w:gridCol w:w="960"/>
        <w:gridCol w:w="961"/>
      </w:tblGrid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N п/п</w:t>
            </w: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Статья затрат на создание/реконструкцию объекта</w:t>
            </w: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 кв. 2015</w:t>
            </w: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II кв. 2015</w:t>
            </w: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III кв. 2015</w:t>
            </w: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IV кв. 2015</w:t>
            </w: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 кв. 2016</w:t>
            </w: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II кв. 2016</w:t>
            </w: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III кв. 2016</w:t>
            </w: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  <w:jc w:val="center"/>
            </w:pPr>
            <w:r w:rsidRPr="004C045D">
              <w:t>IV кв. 2016</w:t>
            </w:r>
          </w:p>
        </w:tc>
      </w:tr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</w:tr>
      <w:tr w:rsidR="004C045D" w:rsidRPr="004C045D">
        <w:tc>
          <w:tcPr>
            <w:tcW w:w="45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1644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0" w:type="dxa"/>
          </w:tcPr>
          <w:p w:rsidR="009C7609" w:rsidRPr="004C045D" w:rsidRDefault="009C7609">
            <w:pPr>
              <w:pStyle w:val="ConsPlusNormal"/>
            </w:pPr>
          </w:p>
        </w:tc>
        <w:tc>
          <w:tcPr>
            <w:tcW w:w="961" w:type="dxa"/>
          </w:tcPr>
          <w:p w:rsidR="009C7609" w:rsidRPr="004C045D" w:rsidRDefault="009C7609">
            <w:pPr>
              <w:pStyle w:val="ConsPlusNormal"/>
            </w:pPr>
          </w:p>
        </w:tc>
      </w:tr>
    </w:tbl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nformat"/>
        <w:jc w:val="both"/>
      </w:pPr>
      <w:r w:rsidRPr="004C045D">
        <w:t>Участник отбора</w:t>
      </w:r>
    </w:p>
    <w:p w:rsidR="009C7609" w:rsidRPr="004C045D" w:rsidRDefault="009C7609">
      <w:pPr>
        <w:pStyle w:val="ConsPlusNonformat"/>
        <w:jc w:val="both"/>
      </w:pPr>
      <w:r w:rsidRPr="004C045D">
        <w:t>_____________________      ______________   _______________________________</w:t>
      </w:r>
    </w:p>
    <w:p w:rsidR="009C7609" w:rsidRPr="004C045D" w:rsidRDefault="009C7609">
      <w:pPr>
        <w:pStyle w:val="ConsPlusNonformat"/>
        <w:jc w:val="both"/>
      </w:pPr>
      <w:r w:rsidRPr="004C045D">
        <w:t xml:space="preserve">    (</w:t>
      </w:r>
      <w:proofErr w:type="gramStart"/>
      <w:r w:rsidRPr="004C045D">
        <w:t xml:space="preserve">Должность)   </w:t>
      </w:r>
      <w:proofErr w:type="gramEnd"/>
      <w:r w:rsidRPr="004C045D">
        <w:t xml:space="preserve">            (подпись)        (Фамилия, имя, отчество)</w:t>
      </w:r>
    </w:p>
    <w:p w:rsidR="009C7609" w:rsidRPr="004C045D" w:rsidRDefault="009C7609">
      <w:pPr>
        <w:pStyle w:val="ConsPlusNonformat"/>
        <w:jc w:val="both"/>
      </w:pPr>
    </w:p>
    <w:p w:rsidR="009C7609" w:rsidRPr="004C045D" w:rsidRDefault="009C7609">
      <w:pPr>
        <w:pStyle w:val="ConsPlusNonformat"/>
        <w:jc w:val="both"/>
      </w:pPr>
      <w:r w:rsidRPr="004C045D">
        <w:t>М.П.</w:t>
      </w:r>
    </w:p>
    <w:p w:rsidR="009C7609" w:rsidRPr="004C045D" w:rsidRDefault="009C7609">
      <w:pPr>
        <w:pStyle w:val="ConsPlusNormal"/>
        <w:ind w:firstLine="540"/>
        <w:jc w:val="both"/>
      </w:pPr>
    </w:p>
    <w:p w:rsidR="009C7609" w:rsidRPr="004C045D" w:rsidRDefault="009C7609">
      <w:pPr>
        <w:pStyle w:val="ConsPlusNormal"/>
        <w:ind w:firstLine="540"/>
        <w:jc w:val="both"/>
      </w:pPr>
      <w:r w:rsidRPr="004C045D">
        <w:t>--------------------------------</w:t>
      </w:r>
    </w:p>
    <w:p w:rsidR="009C7609" w:rsidRPr="004C045D" w:rsidRDefault="009C7609">
      <w:pPr>
        <w:pStyle w:val="ConsPlusNormal"/>
        <w:spacing w:before="220"/>
        <w:ind w:firstLine="540"/>
        <w:jc w:val="both"/>
      </w:pPr>
      <w:bookmarkStart w:id="10" w:name="P373"/>
      <w:bookmarkEnd w:id="10"/>
      <w:r w:rsidRPr="004C045D">
        <w:t>&lt;1&gt; На каждый объект инфраструктуры рекомендуется оформлять отдельную таблицу.</w:t>
      </w:r>
    </w:p>
    <w:p w:rsidR="009C7609" w:rsidRPr="004C045D" w:rsidRDefault="009C7609">
      <w:pPr>
        <w:pStyle w:val="ConsPlusNormal"/>
        <w:jc w:val="both"/>
      </w:pPr>
    </w:p>
    <w:p w:rsidR="009C7609" w:rsidRPr="004C045D" w:rsidRDefault="009C7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B63" w:rsidRPr="004C045D" w:rsidRDefault="00F43146"/>
    <w:sectPr w:rsidR="00E34B63" w:rsidRPr="004C045D" w:rsidSect="000D12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09"/>
    <w:rsid w:val="004C045D"/>
    <w:rsid w:val="009C7609"/>
    <w:rsid w:val="009D3558"/>
    <w:rsid w:val="00AB0290"/>
    <w:rsid w:val="00F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6865"/>
  <w15:chartTrackingRefBased/>
  <w15:docId w15:val="{139C3745-4F14-4BC8-AACC-FDCBACC7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C68B1E3F0A45F278FEFDD2B3B8CDCA7C8069623ED6623A422FAAADrBMDS" TargetMode="External"/><Relationship Id="rId13" Type="http://schemas.openxmlformats.org/officeDocument/2006/relationships/hyperlink" Target="consultantplus://offline/ref=780DC68B1E3F0A45F278FEFDD2B3B8CDC87B8469683FD6623A422FAAADBD3C7017CCEC5E432337D9r2M1S" TargetMode="External"/><Relationship Id="rId18" Type="http://schemas.openxmlformats.org/officeDocument/2006/relationships/hyperlink" Target="consultantplus://offline/ref=780DC68B1E3F0A45F278F7E4D5B3B8CDCC7E826C6D3FD6623A422FAAADrBM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DC68B1E3F0A45F278FEFDD2B3B8CDCB75836D6A3BD6623A422FAAADBD3C7017CCEC5E402636DCr2M0S" TargetMode="External"/><Relationship Id="rId12" Type="http://schemas.openxmlformats.org/officeDocument/2006/relationships/hyperlink" Target="consultantplus://offline/ref=780DC68B1E3F0A45F278FEFDD2B3B8CDC87B8469683FD6623A422FAAADBD3C7017CCEC5E432337D9r2M1S" TargetMode="External"/><Relationship Id="rId17" Type="http://schemas.openxmlformats.org/officeDocument/2006/relationships/hyperlink" Target="consultantplus://offline/ref=780DC68B1E3F0A45F278FEFDD2B3B8CDC87B8469683FD6623A422FAAADBD3C7017CCEC5E432333DFr2MD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0DC68B1E3F0A45F278FEFDD2B3B8CDC87B8469683FD6623A422FAAADBD3C7017CCEC5E432332D8r2MA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DC68B1E3F0A45F278FEFDD2B3B8CDCB75836D6A3BD6623A422FAAADBD3C7017CCEC5E402636DCr2M0S" TargetMode="External"/><Relationship Id="rId11" Type="http://schemas.openxmlformats.org/officeDocument/2006/relationships/hyperlink" Target="consultantplus://offline/ref=780DC68B1E3F0A45F278FEFDD2B3B8CDCB75836D6A3BD6623A422FAAADBD3C7017CCEC5E402636DFr2M8S" TargetMode="External"/><Relationship Id="rId5" Type="http://schemas.openxmlformats.org/officeDocument/2006/relationships/hyperlink" Target="consultantplus://offline/ref=780DC68B1E3F0A45F278FEFDD2B3B8CDCB75836D6A3BD6623A422FAAADBD3C7017CCEC5E402636D4r2M8S" TargetMode="External"/><Relationship Id="rId15" Type="http://schemas.openxmlformats.org/officeDocument/2006/relationships/hyperlink" Target="consultantplus://offline/ref=780DC68B1E3F0A45F278FEFDD2B3B8CDC87B8469683FD6623A422FAAADBD3C7017CCEC5E432334DDr2M1S" TargetMode="External"/><Relationship Id="rId10" Type="http://schemas.openxmlformats.org/officeDocument/2006/relationships/hyperlink" Target="consultantplus://offline/ref=780DC68B1E3F0A45F278FEFDD2B3B8CDCB75836D6A3BD6623A422FAAADBD3C7017CCEC5E402636DFr2M0S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80DC68B1E3F0A45F278FEFDD2B3B8CDCB75836D6A3BD6623A422FAAADBD3C7017CCEC5E402636DBr2MFS" TargetMode="External"/><Relationship Id="rId9" Type="http://schemas.openxmlformats.org/officeDocument/2006/relationships/hyperlink" Target="consultantplus://offline/ref=780DC68B1E3F0A45F278FEFDD2B3B8CDCB75836D6A3BD6623A422FAAADBD3C7017CCEC5E402636DCr2M0S" TargetMode="External"/><Relationship Id="rId14" Type="http://schemas.openxmlformats.org/officeDocument/2006/relationships/hyperlink" Target="consultantplus://offline/ref=780DC68B1E3F0A45F278FEFDD2B3B8CDC87B8469683FD6623A422FAAADBD3C7017CCEC5E432337DAr2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Опейкин Артем Сергеевич</dc:creator>
  <cp:keywords/>
  <dc:description/>
  <cp:lastModifiedBy>Кафтайлова Ирина Владимировна</cp:lastModifiedBy>
  <cp:revision>2</cp:revision>
  <dcterms:created xsi:type="dcterms:W3CDTF">2018-11-12T00:08:00Z</dcterms:created>
  <dcterms:modified xsi:type="dcterms:W3CDTF">2018-11-12T00:08:00Z</dcterms:modified>
</cp:coreProperties>
</file>