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/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 1 к письму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</w:rPr>
        <w:t xml:space="preserve">Заместителя Председателя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</w:rPr>
        <w:t>Правительства Камчатского края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2722880</wp:posOffset>
            </wp:positionH>
            <wp:positionV relativeFrom="paragraph">
              <wp:posOffset>184785</wp:posOffset>
            </wp:positionV>
            <wp:extent cx="647700" cy="807720"/>
            <wp:effectExtent l="0" t="0" r="0" b="0"/>
            <wp:wrapTight wrapText="bothSides">
              <wp:wrapPolygon edited="0">
                <wp:start x="-136" y="0"/>
                <wp:lineTo x="-136" y="20778"/>
                <wp:lineTo x="20832" y="20778"/>
                <wp:lineTo x="20832" y="0"/>
                <wp:lineTo x="-13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1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1 к постановлению Правительства Камчатского края от 26.08.2021 № 378-П «О государственном природном заказнике регионального значения «Олений Дол»</w:t>
      </w:r>
    </w:p>
    <w:p>
      <w:pPr>
        <w:pStyle w:val="Normal"/>
        <w:spacing w:lineRule="auto" w:line="240" w:before="266" w:after="0"/>
        <w:ind w:firstLine="709" w:left="0" w:righ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В соответствии с частью 1 статьи 12, статьей 13 Закона Камчатского края от</w:t>
      </w:r>
      <w:r>
        <w:rPr/>
        <w:t xml:space="preserve"> </w:t>
      </w:r>
      <w:r>
        <w:rPr>
          <w:rFonts w:ascii="Times New Roman" w:hAnsi="Times New Roman"/>
          <w:sz w:val="28"/>
        </w:rPr>
        <w:t>29.12.2014 № 564 «Об особо охраняемых природных территориях в Камчатском крае»,</w:t>
      </w:r>
      <w:r>
        <w:rPr/>
        <w:t xml:space="preserve"> </w:t>
      </w:r>
      <w:r>
        <w:rPr>
          <w:rFonts w:ascii="Times New Roman" w:hAnsi="Times New Roman"/>
          <w:sz w:val="28"/>
        </w:rPr>
        <w:t>частью 2 постановления Губернатора Камчатского края</w:t>
      </w:r>
      <w:r>
        <w:rPr/>
        <w:br/>
      </w:r>
      <w:r>
        <w:rPr>
          <w:rFonts w:ascii="Times New Roman" w:hAnsi="Times New Roman"/>
          <w:sz w:val="28"/>
        </w:rPr>
        <w:t>от 29.03.2024 № 9 «Об изменении структуры исполнительных органов Камчатского края»</w:t>
      </w:r>
    </w:p>
    <w:p>
      <w:pPr>
        <w:pStyle w:val="Normal"/>
        <w:spacing w:lineRule="auto" w:line="240" w:before="0" w:after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Приложение 1 к постановлению Правительства Камчатского края от 26.08.2021 № 378-П «О государственном природном заказнике регионального значения «Олений Дол», изложив его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7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3"/>
        <w:gridCol w:w="2553"/>
      </w:tblGrid>
      <w:tr>
        <w:trPr>
          <w:trHeight w:val="1716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Временно исполняющий обязанности Председателя Правительства Камчатского края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-113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2"/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tbl>
      <w:tblPr>
        <w:tblStyle w:val="Style_3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77"/>
        <w:gridCol w:w="483"/>
        <w:gridCol w:w="3670"/>
        <w:gridCol w:w="479"/>
        <w:gridCol w:w="1871"/>
        <w:gridCol w:w="489"/>
        <w:gridCol w:w="1689"/>
      </w:tblGrid>
      <w:tr>
        <w:trPr/>
        <w:tc>
          <w:tcPr>
            <w:tcW w:w="476" w:type="dxa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Приложение к постановлению</w:t>
            </w:r>
          </w:p>
        </w:tc>
      </w:tr>
      <w:tr>
        <w:trPr/>
        <w:tc>
          <w:tcPr>
            <w:tcW w:w="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6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0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1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9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89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Style_3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78"/>
        <w:gridCol w:w="478"/>
        <w:gridCol w:w="3664"/>
        <w:gridCol w:w="4540"/>
      </w:tblGrid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«Приложение 1 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от 26.08.2021 № 378-П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государственном природном биологическом (зоологическом) заказнике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регионального значения «Олений Дол»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регулирует вопросы охраны и использования государственного природного биологического (зоологического) заказника регионального значения «Олений Дол» (далее – Заказник).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Заказник является особо охраняемой природной территорией регионального значения в Камчатском крае и относится к объектам общенационального достояния.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Целями создания Заказника являются: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сохранение в естественном состоянии ценного в экологическом, научном, культурном и эстетическом отношениях участка высокогорного природного комплекса юго-восточной части полуострова Камчатка, расположенного на водораздельном вулканическом плато в истоках рек Сухая Толмачева, Левая Толмачева, Опала, включая сохранение в естественном состоянии природных экологических систем, их средообразующих функций и биологической продуктивности, в том числе уникальной экосистемы</w:t>
        <w:br/>
        <w:t xml:space="preserve">Верхне-Опалинских горячих минеральных источников </w:t>
      </w:r>
      <w:r>
        <w:rPr>
          <w:rFonts w:ascii="Times New Roman" w:hAnsi="Times New Roman"/>
          <w:sz w:val="28"/>
          <w:highlight w:val="white"/>
        </w:rPr>
        <w:t>с температурой до 74°С</w:t>
      </w:r>
      <w:r>
        <w:rPr>
          <w:rFonts w:ascii="Times New Roman" w:hAnsi="Times New Roman"/>
          <w:sz w:val="28"/>
        </w:rPr>
        <w:t xml:space="preserve">, расположенных </w:t>
      </w:r>
      <w:r>
        <w:rPr>
          <w:rFonts w:ascii="Times New Roman" w:hAnsi="Times New Roman"/>
          <w:sz w:val="28"/>
          <w:highlight w:val="white"/>
        </w:rPr>
        <w:t>в левобережной части долины реки Левая Опала, на правом берегу ее безымянного левого притока, стекающего с северо-западного склона потухшего вулкана Асача</w:t>
      </w:r>
      <w:r>
        <w:rPr>
          <w:rFonts w:ascii="Times New Roman" w:hAnsi="Times New Roman"/>
          <w:sz w:val="28"/>
        </w:rPr>
        <w:t xml:space="preserve"> (отметка 1809,0 м), </w:t>
      </w:r>
      <w:r>
        <w:rPr>
          <w:rFonts w:ascii="Times New Roman" w:hAnsi="Times New Roman"/>
          <w:sz w:val="28"/>
          <w:highlight w:val="white"/>
        </w:rPr>
        <w:t xml:space="preserve">представленных двумя истоками и высокодебитными (до 25 л/с) грифонами, находящимися на абсолютной высоте около 300,0 м над уровнем моря, </w:t>
      </w:r>
      <w:r>
        <w:rPr>
          <w:rFonts w:ascii="Times New Roman" w:hAnsi="Times New Roman"/>
          <w:sz w:val="28"/>
        </w:rPr>
        <w:t>бореальных лиственных (каменноберезовых) лесов, стелющихся стланиковых лесов, субальпийских лугов, высокогорных тундр, нерестовых рек и озер, формирующихся в условиях прямого влияния современного вулканизма, оледенения, поствулканических процессов, активной циклонической деятельности, иных геологических и климатических процессов и явлений;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восстановление численности, охрана южно-камчатской популяции дикого северного оленя – вида, занесенного в Красную книгу Российской Федерации и Красную книгу Камчатского края, в местах сезонной (зимней) концентрации;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охрана, восстановление численности редких и исчезающих видов диких животных, дикорастущих растений, грибов, иных организмов, занесенных в Красную книгу Российской Федерации и Красную книгу Камчатского края, ключевых мест их обитания (произрастания);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охрана, восстановление численности, обеспечение воспроизводства ценных в хозяйственном, научном и культурном отношении объектов животного мира, прежде всего черношапочного сурка, охрана среды обитания и путей миграции диких животных;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охрана, регулирование использования в рекреационных и бальнеологических целях уникальной гидротермальной экосистемы Верхне-Опалинских минеральных источников;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6) минимизация негативного антропогенного воздействия на высокогорные естественные экологические системы, в том числе при осуществлении туризма;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осуществление государственного экологического мониторинга (государственного мониторинга окружающей среды);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экологическое просвещение населения.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Заказник создан постановлением главы администрации Камчатской области от 14.11.1995 № 268 «Об организации зоологического заказника областного значения «Олений Дол» без ограничения срока его функционирования.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Заказник создан на землях лесного фонда, без изъятия земельных участков для государственных нужд, а также у собственников, землепользователей и землевладельцев.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Общая площадь заказника составляет 70915,65 га.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Профиль заказника – биологический (зоологический).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Природные ресурсы, расположенные в границах Заказника, ограничиваются в гражданском обороте в соответствии с требованиями действующего законодательства и настоящего Положения.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Запрещается изменение целевого назначения земельных участков, находящихся в границах Заказника, за исключением случаев, предусмотренных федеральными законами.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Леса, расположенные на территории Заказника, относятся к защитным лесам и подлежат освоению в целях сохранения их средообразующих, водоохранных, защитных, санитарно-гигиенических, оздоровительных и иных полезных функций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Виды разрешенного использования земельных участков, расположенных в границах Заказника: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основные виды разрешенного использования земельных участков: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природно-познавательный туризм (код 5.2);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деятельность по особой охране и изучению природы (код 9.0);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охрана природных территорий (код 9.1);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историко-культурная деятельность (код 9.3);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резервные леса (код 10.4);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вспомогательные виды разрешенного использования земельных  участков: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охота и рыбалка (в части размещения объектов охотничьей инфраструктуры, являющихся некапитальными строениями, сооружениями) (код 5.3);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воздушный транспорт (в части размещения вертолетных площадок для обеспечения деятельности, связанной с выполнением биотехнических, охотхозяйственных, природоохранных мероприятий, ликвидацией и предупреждением чрезвычайных ситуаций) (код 7.4);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общее пользование водными объектами (в части водопользования, осуществляемого гражданами для личных нужд) (код 11.1).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Предельные минимальные и (или) максимальные размеры земельных участков, предельные параметры разрешенного строительства, реконструкции объектов капитального строительства не устанавливаются, так как подпунктом «а» пункта 3 части 24 настоящего Положения введен запрет на строительство, реконструкцию, капитальный ремонт объектов капитального строительства.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13. Охрана Заказника и управление им осуществляется подведомственным Министерству природных ресурсов и экологии Камчатского края краевым государственным бюджетным учреждением, созданным для управления особо охраняемыми природными территориями регионального значения и обеспечения их охраны (далее – Учреждение).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Посещение территории Заказника осуществляется по разрешениям, выдаваемым Учреждением, за исключением случаев нахождения на его территории: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должностных лиц, осуществляющих государственный экологический контроль, федеральный государственный охотничий контроль (надзор), федеральный государственный лесной контроль (надзор), лесную охрану, федеральный государственный контроль (надзор) в области рыболовства и сохранения водных биологических ресурсов;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правообладателей лесных участков, арендаторов охотничьих угодий, расположенных в границах Заказника, в том числе на основании соглашений, заключенных с Учреждением, при наличии служебного удостоверения и (или) охотничьего билета, разрешения на право добычи охотничьих ресурсов, путевки, разрешения на хранение и ношение охотничьего огнестрельного оружия.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Границы и особенности режима особой охраны Заказника учитываются при территориальном планировании, градостроительном зонировании, при разработке правил землепользования и застройки, проведении землеустройства и лесоустройства, разработке лесного плана Камчатского края, лесохозяйственных регламентов и проектов освоения лесов, подготовке планов и перспектив экономического и социального развития, в том числе развития населенных пунктов, территориальных комплексных схем охраны природы, схем комплексного использования и охраны водных объектов, схем размещения, использования и охраны охотничьих угодий.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Предоставление в аренду, постоянное (бессрочное) пользование лесных участков в целях осуществления научно-исследовательской, образовательной, рекреационной и иной экономической деятельности, не противоречащей целям создания Заказника, осуществляется по согласованию с Министерством природных ресурсов и экологии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 xml:space="preserve">17. На территории Заказника экономическая и иная деятельность осуществляется с соблюдением требований настоящего Положения и </w:t>
      </w:r>
      <w:hyperlink r:id="rId3">
        <w:r>
          <w:rPr>
            <w:rStyle w:val="ListLabel1"/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по предотвращению гибели объектов животного мира, за исключением объектов животного мира, находящихся на особо охраняемых природных территориях федерального значения, при осуществлении производственных процессов, а также при эксплуатации транспортных магистралей, трубопроводов, линий связи и электропередачи на территории Камчатского края, утвержденных постановлением Правительства Камчатского края от 15.07.2013 № 303-П.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Проектная документация объектов капитального строительства, введенных в эксплуатацию в границах Заказника до утверждения настоящего Положения, реконструкцию и ремонт которых предполагается осуществить, проектная документация строительства, реконструкции линейных объектов подлежит государственной экологической экспертизе регионального уровня.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К мероприятиям по обеспечению режима особой охраны Заказника могут привлекаться граждане, общественные объединения и некоммерческие организации, осуществляющие деятельность в области охраны окружающей среды.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Правообладатели земельных участков и водных объектов, расположенных в границах Заказника, а также иные юридические лица, индивидуальные предприниматели, физические лица, осуществляющие экономическую и иную разрешенную деятельность на территории Заказника, обязаны соблюдать установленный настоящим Положением режим его охраны и природопользования.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Границы Заказника обозначаются на местности специальными информационными знаками по периметру его границ.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Текстовое описание местоположения границ Заказника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Заказник включает участок водораздельного вулканического плато, расположенного в истоках рек  Сухая Толмачева, Левая Толмачева, Опала, а также Верхне-Опалинские горячие минеральные источники.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Заказник устанавливается в следующих границах: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северная граница: от характерной точки 203 с географическими координатами 52 градуса 32 минуты 57.0 секунд северной широты и 157 градусов 24 минуты 5.0 секунд восточной долготы, соответствующей отметке 692,0 м, расположенной у восточного подножия стратовулкана Опала (отметка 2475,0 м над уровнем моря), проходит прямыми линиями в общем северо-восточном направлении через характерные точки 204–205, высотную отметку 685,1 м, характерные точки 207–211 до характерной точки 212 с географическими координатами 52 градуса 34 минуты 0.0 секунд северной широты и 157 градусов 27 минут 42.1 секунды восточной долготы, соответствующей западной вершине горы Двойная (отметка 804,4 м); далее от характерной точки 212 в восточном направлении через характерную точку 213 до характерной точки 214 с географическими координатами 52 градуса 34 минуты 4.8 секунды северной широты и 157 градусов 28 минут 15.3 секунды восточной долготы, соответствующей восточной вершине горы Двойная; далее от характерной точки 214 в общем северо-восточном направлении прямыми линиями через характерные точки 215–226 до характерной точки 227 с географическими координатами 52 градуса 34 минуты 53.9 секунды северной широты и 157 градусов 31 минута 29.4 секунд восточной долготы, соответствующей отметке 700,6 м; далее от характерной точки 227 в общем северо-восточном направлении через характерные точки 228–232 до характерной точки 233 с географическими координатами 52 градуса 35 минут 30.6 секунды северной широты и 157 градусов 33 минуты 2.7 секунды восточной долготы, соответствующей вершине горы Седло (отметка 1010,2 м); далее от характерной точки 233 прямыми линиями в восточном направлении через характерные точки 234–240 до характерной точки 241 с географическими координатами 52 градуса 35 минут 35.6 секунды северной широты и 157 градусов 36 минут 22.3 секунды восточной долготы, расположенной у подножия отметки 877,7 м на юго-западной оконечности озера Толмачева (Толмачевского водохранилища); далее от характерной точки 241 прямыми линиями в восточном направлении через характерные точки 242–274, вдоль южного берега озера Толмачева, подножия отметки 760,6 м, горы Утес (отметка 1114,7 м), отметок 1024,8 м, 626,2 м до характерной точки 275 с географическими координатами 52 градуса 35 минут 55.1 секунды северной широты и 157 градусов 42 минуты 45.1 секунды восточной долготы, расположенной на левом берегу реки Левая Толмачева; далее от характерной точки 275 в восточном направлении вверх по течению по левому берегу реки Левая Толмачева, вдоль подножия горы Толмачева (отметка 1415,0 м), до ее истоков и далее прямыми линиями через характерные точки 276–331 до характерной точки 332 с географическими координатами 52 градуса 34 минуты 13.0 секунд северной широты и 157 градусов 57 минут 42.0 секунды восточной долготы, соответствующей вершине горы Шпиль (отметка 1205,8 м);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восточная граница: от характерной точки 332 в общем южном направлении через характерные точки 333–351, 1–4 до характерной точки 5 с географическими координатами 52 градуса 31 минута 57.1 секунды северной широты и 157 градусов 58 минут 53.1 секунды восточной долготы, соответствующей отметке 1207,8 м, находящейся на линии водораздела рек Левая Опала – Мишкина (бассейн реки Мутная); далее от характерной точки 5 в южном направлении линией водораздела через характерные точки 6–28 до характерной точки 29 с географическими координатами 52 градуса 27 минут 26.2 секунды северной широты и 157 градусов 59 минут 4.1 секунды восточной долготы, соответствующей отметке 877,1 м; далее от характерной точки 29 прямыми линиями в юго-западном направлении также линией водораздела через характерные точки 30–31 до характерной точки 32 с географическими координатами 52 градуса 27 минут 4.2 секунды северной широты и 157 градусов 57 минут 59.4 секунды восточной долготы, соответствующей отметке 927,7 м; далее от характерной точки 32 в общем западном направлении через характерные точки 33–35 до характерной точки 36 с географическими координатами 52 градуса 27 минут 3.2 секунды северной широты и 157 градусов 56 минут 53.7 секунды восточной долготы, соответствующей отметке 812,7 м; далее от характерной точки 36 в общем южном направлении через характерные точки 37–40 до характерной точки 41 с географическими координатами 52 градуса 26 минут 4.6 секунды северной широты и 157 градусов 55 минут 49.9 секунды восточной долготы, соответствующей вершине горы Высокая (отметка 1234,5 м); далее от характерной точки 41 в общем юго-западном направлении водоразделом ручья Заоблачный (приток реки Левая Опала) – река Грибная (бассейн реки Мутная) через характерные точки 42–57 до характерной точки 58 с географическими координатами 52 градуса 25 минут 12.8 секунды северной широты и 157 градусов 52 минуты 49.1 секунды восточной долготы, соответствующей вершине горы Голая (отметка 924,2 м); далее от характерной точки 58 также водоразделом ручья Заоблачный – река Грибная в общем юго-западном направлении через характерные точки 59–75 до характерной точки 76 с географическими координатами 52 градуса 21 минута 25.4 секунды северной широты и 157 градусов 49 минут 27.1 секунды восточной долготы, соответствующей вершине горы Асача (отметка 1909,2 м);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южная граница: от характерной точки 76 проходит прямыми линиями в северо-западном направлении через характерные точки 77–82 до характерной точки 83 с географическими координатами 52 градуса 22 минуты 10.8 секунды северной широты и 157 градусов 46 минут 46.0 секунд восточной долготы, соответствующей отметке 997,4 м, расположенной в истоках ручья Подлесный (левый приток реки Опала); далее от характерной точки 83 в общем северо-западном направлении вниз по течению по левому берегу ручья Подлесный через характерные точки 84–127 до характерной точки 128 с географическими координатами 52 градуса 26 минут 16.2 секунды северной широты и 157 градусов 37 минут 14.8 секунд восточной долготы, расположенной в устье ручья Подлесный; далее от характерной точки 128 в общем западном направлении вниз по течению по левому берегу реки Опала через характерные точки 129–173 до характерной точки 174 с географическими координатами 52 градуса 26 минут 16.2 секунды северной широты и 157 градусов 37 минут 14.8 секунд восточной долготы, расположенной на левом берегу реки Опала перед ее входом в кальдеру вулкана Опала;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западная граница: от характерной точки 174 проходит прямыми линиями в северном направлении вдоль подножия восточного борта кальдеры вулкана Опала через характерные точки 175–178 до характерной точки 179 с географическими координатами 52 градуса 27 минут 42.4 секунды северной широты и 157 градусов 25 минут 50.8 секунды восточной долготы, расположенной в русле ручья Первый Ключ, в месте впадения в него ручья Второй Ключ; далее от характерной точки 179 в северном направлении вверх по течению по правому берегу ручья Первый Ключ через характерные точки 180–194 до характерной точки 195 с географическими координатами 52 градуса 31 минута 18.0 секунд северной широты и 157 градусов 25 минут 57.0 секунд восточной долготы, расположенной в устье его правого безымянного притока; далее от характерной точки 195 в северо-западном направлении вверх по течению по правому берегу правого безымянного притока ручья Первый Ключ через характерные точки 196–197 до характерной точки 198 с географическими координатами 52 градуса 31 минута 59.8 секунды северной широты и 157 градусов 25 минут 5.8 секунды восточной долготы, расположенной в истоке правого безымянного притока ручья Первый; далее от характерной точки 198 прямыми линиями в северо-западном направлении через характерные точки 199–202 до характерной точки 203, где и замыкается.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Режим особой охраны Заказника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На территории Заказника запрещается экономическая и иная деятельность, противоречащая целям его создания или причиняющая вред его природным комплексам и объектам, объектам растительного и животного мира, естественным экологическим системам, в том числе: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предоставление и использование лесных участков в целях, не связанных с целями создания Заказника, предоставление в любых целях лесных участков, расположенных в границах 100-м охранной зоны Верхне-Опалинских горячих минеральных источников;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деятельность, влекущая за собой нарушение, повреждение, уничтожение природных комплексов и объектов, форм рельефа, геологических отложений, минералогических образований, почвенного и растительного покрова, мест обитаний (произрастаний) редких видов животных, растений и иных организмов, занесенных в Красную книгу Российской Федерации и Красную книгу Камчатского края;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деятельность по освоению защитных лесов, несовместимая с их целевым назначением (видом разрешенного использования лесов) и полезными функциями, в том числе: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строительство, реконструкция, ремонт объектов капитального строительства, за исключением реконструкции, ремонта объектов капитального строительства, введенных в эксплуатацию до утверждения настоящего Положения, </w:t>
      </w:r>
      <w:r>
        <w:rPr>
          <w:rFonts w:ascii="Times New Roman" w:hAnsi="Times New Roman"/>
          <w:sz w:val="28"/>
        </w:rPr>
        <w:t>а также линейных объектов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заготовка древесины, рубка лесных насаждений, за исключением случаев, предусмотренных пунктами 7 и 10 части 25 настоящего Положения;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заготовка и сбор дикорастущих плодов, ягод, орехов, грибов, других пригодных для употребления в пищу лесных ресурсов (далее – пищевые лесные ресурсы), лекарственных растений, а также недревесных лесных ресурсов, включая заготовку и сбор валежника, за исключением случаев, предусмотренных пунктом 16 части 25 настоящего Положения;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ведение сельского хозяйства, включая выращивание плодовых, ягодных, декоративных, лекарственных растений, использование минеральных удобрений, химических средств защиты растений и стимуляторов роста, распашку земель, прогон и выпас сельскохозяйственных животных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размещение площадок для посадки вертолетов, стоянок для механических транспортных средств вне специально установленных мест и без согласования с Учреждением;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размещение мест отдыха, в том числе палаточных лагерей, костровищ, пикниковых точек, иных строений и сооружений вне специально установленных мест и без согласования с Учреждением;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пользование недрами, в том числе выполнение работ по геологическому изучению недр, разработке месторождений полезных ископаемых;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проведение взрывных работ, за исключением случаев предупреждения и ликвидации чрезвычайных ситуаций;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проведение гидромелиоративных, ирригационных, дноуглубительных и других работ, связанных с изменением дна, берегов и водоохранных зон водных объектов, за исключением случаев ликвидации и предупреждения чрезвычайных ситуаций;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движение механических транспортных средств вне дорог общего пользования (лесных дорог), за исключением снегоходов в период установления постоянного снежного покрова и при соблюдении требований, указанных пунктами 9 и 14 части 24 настоящего Положения;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посадка и стоянка вертолетов вне специально оборудованных площадок, имеющих твердое покрытие, за исключением мероприятий по ликвидации и предупреждению чрезвычайных ситуаций, в том числе связанных с тушением лесных пожаров;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проезд через водные объекты механических транспортных средств, их движение по водным объектам, являющихся нерестилищами лососевых рыб, пешее передвижение по руслам нерестовых рек и ручьев, за исключением случаев проезда по водным объектам на снегоходах в период установления постоянного ледового покрова или по временным мостовым переходам по согласованию с Учреждением;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промышленное рыболовства;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рыбохозяйственная мелиорация;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интродукция живых организмов, гибридизация объектов животного мира, искусственное воспроизводство водных биоресурсов, аквакультура (рыбоводство);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деятельность, ведущая к усилению фактора беспокойства для диких животных, включая пролет вертолетов ниже 200 м над территорией Заказника, преследование, привлечение и кормление диких животных, за исключением случаев проведения авиаучетных и обследовательских работ, ликвидации и предупреждения чрезвычайных ситуаций, а также случаев, предусмотренных пунктами 1, 10, 11 части 25 настоящего Положения;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стоянка механических транспортных средств, устройство площадок для стоянки вертолетов, посадка и стоянка вертолетов, в том числе при наличии снежного покрова, на расстоянии менее 200 метров от выходов термальных вод Верхне-Опалинских горячих минеральных источников;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движение по водным объектам любых плавучих средств, имеющих двигатели внутреннего сгорания;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разведение огня вне специально отведенных мест, выжигание растительности, пускание палов, сжигание мусора и иных отходов, создание иной пожароопасной ситуации, за исключением осуществления противопожарных мероприятий;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создание объектов размещения радиоактивных, химических, взрывчатых, токсичных, отравляющих и ядовитых веществ, за исключением создания и содержания мест (площадок) накопления твердых коммунальных отходов в соответствии с требованиями законодательства в области обращения с отходами производства и потребления;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накопление, размещение, захоронение, сжигание отходов производства и потребления;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деятельность, влекущая за собой загрязнение земель и почв, в том числе в результате сброса химических веществ, включая радиоактивные, иные вещества, микроорганизмы, а также деятельность, влекущая за собой истощение, деградацию, порчу и уничтожение земель и почв;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деятельность, ведущая к загрязнению акватории водных объектов и их водоохранных зон, подземных вод отходами производства и потребления, любыми химическими и токсичными веществами, микроорганизмами;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 использование водных объектов, в том числе термоминеральных источников, без разрешительных документов на право пользования водным объектом и недрами, за исключением случаев использования водных объектов гражданами для личных и бытовых нужд;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22) мойка транспортных средств в водных объектах;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23) хранение горюче-смазочных материалов вне установленных специально оборудованных мест;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24) использование токсичных химических препаратов для охраны и защиты лесов, в том числе в научных целях;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25) размещение объектов уничтожения биологических отходов, кладбищ;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26) осуществление туризма вне специально оборудованных для этого местах и маршрутах;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27) нахождение с собаками, за исключением используемых при проведении мероприятий по охране природных комплексов и объектов, регулированию численности диких животных, при осуществлении деятельности в сфере охотничьего хозяйства в границах закрепленных охотничьих угодий;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28) нахождение с огнестрельным, пневматическим и метательным оружием, капканами и другими орудиями охоты, орудиями добычи (вылова) водных биологических ресурсов, добытыми объектами животного мира (в том числе отнесенными к водным биологическим ресурсам) и полученной из них продукцией, за исключением случаев, связанных с проведением уполномоченными должностными лицами мероприятий по государственному контролю (надзору) в области охраны и использования особо охраняемых природных территорий, федеральному государственному контролю (надзору) в области охраны, воспроизводства и использования объектов животного мира и среды их обитания, федеральному государственному охотничьему контролю (надзору), федеральному государственному лесному контролю (надзору), федеральному государственному контролю (надзору) в области рыболовства и сохранения водных биологических ресурсов, а также</w:t>
      </w:r>
      <w:r>
        <w:rPr/>
        <w:t xml:space="preserve"> </w:t>
      </w:r>
      <w:r>
        <w:rPr>
          <w:rFonts w:ascii="Times New Roman" w:hAnsi="Times New Roman"/>
          <w:sz w:val="28"/>
        </w:rPr>
        <w:t>случаев, предусмотренных пунктами 1, 10– 12 части 25 настоящего Положения;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29) добыча дикого северного оленя и черношапочного сурка;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30) уничтожение или повреждение шлагбаумов, аншлагов, стендов и других информационных знаков и указателей, нанесение на камни, деревья, постройки и информационные знаки самовольных надписей.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На территории Заказника разрешаются следующие виды экономической и иной деятельности: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научно-исследовательская деятельность, направленная на изучение биологического и ландшафтного разнообразия, динамики и структуры природных комплексов и объектов, включая сбор зоологических, ботанических, минералогических и палеонтологических коллекций в порядке, установленном законодательством Российской Федерации, и по согласованию с Учреждением;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осуществление государственного экологического мониторинга (государственного мониторинга окружающей среды);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проведение биотехнических мероприятий, направленных на поддержание и увеличение численности охраняемых объектов животного мира;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проведение мероприятий, направленных на сохранение, восстановление и поддержание в разновесном состоянии природных экосистем, в том числе мероприятий по сохранению и восстановлению ключевых мест обитаний (произрастания) объектов животного и растительного мира, нуждающихся в особых мерах охраны;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проведение мероприятий, направленных на воспроизводство защитных лесов, повышение их продуктивности и сохранение полезных функций: мероприятия по лесовосстановлению, уходу за лесами (в том числе рубки, проводимые в целях ухода за лесными насаждениями), иные мероприятия, проводимые в соответствии с правилами лесовосстановления и правилами ухода за лесами, расположенными на особо охраняемых природных территориях;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проведение мероприятий по охране лесов от загрязнения и иного негативного воздействия, включая меры по сохранению лесных насаждений, лесных почв, других природных объектов в лесах;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осуществление мер санитарной безопасности в лесах при использовании, охране, защите и воспроизводстве лесов, а также мероприятий по охране лесов от пожаров, включая проведение выборочных санитарных рубок лесных насаждений в целях оздоровления насаждений, частично утративших устойчивость, восстановления их целевых функций, локализации и (или) ликвидации очагов стволовых вредителей и опасных инфекционных заболеваний, а также уборку неликвидной древесины в случае, если создается угроза возникновения очагов вредных организмов или пожарной безопасности в лесах, в соответствии с требованиями, установленными лесным законодательством и настоящим Положением;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проведение природоохранных мероприятий по рекультивации нарушенных земель (ликвидация накопленного экологического ущерба), в том числе посредством лесовосстановления;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реинтродукция исчезнувших видов животных, растений, грибов, иных организмов;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ведение охотничьего хозяйства в границах закрепленных охотничьих угодий, включая выполнение мероприятий по сохранению охотничьих ресурсов и среды их обитания, созданию охотничьей инфраструктуры, заготовку древесины для собственных нужд на основании договоров купли-продажи лесных насаждений;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добыча, отлов диких животных в научных целях, осуществление мероприятий по регулированию численности диких животных;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color w:val="000000"/>
          <w:sz w:val="28"/>
        </w:rPr>
        <w:t>рыболовство в научно-исследовательских целях</w:t>
      </w:r>
      <w:r>
        <w:rPr>
          <w:rFonts w:ascii="Times New Roman" w:hAnsi="Times New Roman"/>
          <w:sz w:val="28"/>
        </w:rPr>
        <w:t>, любительское рыболовство</w:t>
      </w:r>
      <w:r>
        <w:rPr>
          <w:rFonts w:ascii="Times New Roman" w:hAnsi="Times New Roman"/>
          <w:color w:val="000000"/>
          <w:sz w:val="28"/>
        </w:rPr>
        <w:t xml:space="preserve"> без применения плавучих средств с подвесными моторами и сетных орудий добычи (вылова) водных биоресурсов, при соблюдении требований, установленных Федеральным законом от 25.12.2018№ 475-ФЗ</w:t>
        <w:br/>
        <w:t>«О любительском рыболовстве и о внесении изменений в отдельные законодательные акты Российской Федерации»;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строительство, эксплуатация, реконструкция, ремонт объектов охотничьей и рекреационной инфраструктуры, являющихся некапитальными строениями, сооружениями, расположенными в границах предоставленных в аренду лесных участков, в том числе установка информационных знаков, стендов, аншлагов, указателей, обустройство и обслуживание экскурсионных троп и маршрутов, смотровых площадок, мест стоянок механических транспортных средств, вертолетных площадок и иных объектов регулируемого туризма при соблюдении требований части 23 настоящего Положения;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реконструкция, ремонт правообладателями лесных участков объектов капитального строительства, введенных в эксплуатацию до утверждения настоящего Положения, при условии получения положительного заключения государственной экологической экспертизы;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строительство, эксплуатация, реконструкция, капитальный ремонт дорог, линий электропередач, других линейных объектов при условии получения положительного заключения государственной экологической экспертизы;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заготовка и сбор гражданами для собственных нужд пищевых лесных ресурсов, лекарственных растений, а также недревесных лесных ресурсов, за исключением объектов растительного мира, занесенных в Красную книгу Российской Федерации и Красную книгу Камчатского края;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sz w:val="28"/>
        </w:rPr>
        <w:t xml:space="preserve">17) организация и осуществление туризма в пределах установленной рекреационной емкости туристских маршрутов, туристских объектов, </w:t>
      </w:r>
      <w:r>
        <w:rPr>
          <w:rFonts w:ascii="Times New Roman" w:hAnsi="Times New Roman"/>
          <w:color w:val="000000"/>
          <w:sz w:val="28"/>
        </w:rPr>
        <w:t>с учетом ограничений, предусмотренных настоящим Положением, и по согласованным с Учреждением сроков и мест посещения Заказника;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использование гражданами в рекреационных и бальнеологических целях минеральных вод Верхне-Опалинских горячих источников;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эколого-просветительская деятельность.».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4"/>
      <w:type w:val="nextPage"/>
      <w:pgSz w:w="11906" w:h="16838"/>
      <w:pgMar w:left="1418" w:right="851" w:gutter="0" w:header="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  <w:p>
    <w:pPr>
      <w:pStyle w:val="Header"/>
      <w:jc w:val="center"/>
      <w:rPr/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13</w:t>
    </w:r>
    <w:r>
      <w:rPr>
        <w:sz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Internetlink1">
    <w:name w:val="Internet link1"/>
    <w:basedOn w:val="DefaultParagraphFont11"/>
    <w:link w:val="Internetlink11"/>
    <w:qFormat/>
    <w:rPr>
      <w:color w:themeColor="hyperlink" w:val="0563C1"/>
      <w:u w:val="single"/>
    </w:rPr>
  </w:style>
  <w:style w:type="character" w:styleId="Heading511">
    <w:name w:val="Heading 511"/>
    <w:link w:val="Heading5111"/>
    <w:qFormat/>
    <w:rPr>
      <w:rFonts w:ascii="XO Thames" w:hAnsi="XO Thames"/>
      <w:b/>
      <w:color w:val="000000"/>
      <w:sz w:val="22"/>
    </w:rPr>
  </w:style>
  <w:style w:type="character" w:styleId="Contents2">
    <w:name w:val="Contents 2"/>
    <w:qFormat/>
    <w:rPr>
      <w:rFonts w:ascii="XO Thames" w:hAnsi="XO Thames"/>
      <w:color w:val="000000"/>
      <w:sz w:val="28"/>
    </w:rPr>
  </w:style>
  <w:style w:type="character" w:styleId="2">
    <w:name w:val="Оглавление 2 Знак"/>
    <w:link w:val="212"/>
    <w:qFormat/>
    <w:rPr>
      <w:rFonts w:ascii="XO Thames" w:hAnsi="XO Thames"/>
      <w:color w:val="000000"/>
      <w:spacing w:val="0"/>
      <w:sz w:val="28"/>
    </w:rPr>
  </w:style>
  <w:style w:type="character" w:styleId="BalloonText11">
    <w:name w:val="Balloon Text11"/>
    <w:link w:val="BalloonText111"/>
    <w:qFormat/>
    <w:rPr>
      <w:rFonts w:ascii="Segoe UI" w:hAnsi="Segoe UI"/>
      <w:sz w:val="18"/>
    </w:rPr>
  </w:style>
  <w:style w:type="character" w:styleId="3">
    <w:name w:val="Оглавление 3 Знак"/>
    <w:link w:val="312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z w:val="28"/>
    </w:rPr>
  </w:style>
  <w:style w:type="character" w:styleId="Footer11">
    <w:name w:val="Footer11"/>
    <w:link w:val="Footer111"/>
    <w:qFormat/>
    <w:rPr>
      <w:rFonts w:ascii="Times New Roman" w:hAnsi="Times New Roman"/>
      <w:color w:val="000000"/>
      <w:sz w:val="28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z w:val="24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z w:val="24"/>
    </w:rPr>
  </w:style>
  <w:style w:type="character" w:styleId="Footnote111">
    <w:name w:val="Footnote111"/>
    <w:link w:val="Footnote1111"/>
    <w:qFormat/>
    <w:rPr>
      <w:rFonts w:ascii="XO Thames" w:hAnsi="XO Thames"/>
      <w:color w:val="000000"/>
      <w:sz w:val="22"/>
    </w:rPr>
  </w:style>
  <w:style w:type="character" w:styleId="Contents31">
    <w:name w:val="Contents 31"/>
    <w:link w:val="Contents311"/>
    <w:qFormat/>
    <w:rPr>
      <w:rFonts w:ascii="XO Thames" w:hAnsi="XO Thames"/>
      <w:color w:val="000000"/>
      <w:sz w:val="28"/>
    </w:rPr>
  </w:style>
  <w:style w:type="character" w:styleId="Endnote2">
    <w:name w:val="Endnote2"/>
    <w:link w:val="Endnote21"/>
    <w:qFormat/>
    <w:rPr>
      <w:rFonts w:ascii="XO Thames" w:hAnsi="XO Thames"/>
      <w:color w:val="000000"/>
      <w:sz w:val="22"/>
    </w:rPr>
  </w:style>
  <w:style w:type="character" w:styleId="Contents6">
    <w:name w:val="Contents 6"/>
    <w:qFormat/>
    <w:rPr>
      <w:rFonts w:ascii="XO Thames" w:hAnsi="XO Thames"/>
      <w:color w:val="000000"/>
      <w:sz w:val="28"/>
    </w:rPr>
  </w:style>
  <w:style w:type="character" w:styleId="Contents71">
    <w:name w:val="Contents 71"/>
    <w:link w:val="Contents711"/>
    <w:qFormat/>
    <w:rPr>
      <w:rFonts w:ascii="XO Thames" w:hAnsi="XO Thames"/>
      <w:color w:val="000000"/>
      <w:sz w:val="28"/>
    </w:rPr>
  </w:style>
  <w:style w:type="character" w:styleId="Contents7">
    <w:name w:val="Contents 7"/>
    <w:qFormat/>
    <w:rPr>
      <w:rFonts w:ascii="XO Thames" w:hAnsi="XO Thames"/>
      <w:color w:val="000000"/>
      <w:sz w:val="28"/>
    </w:rPr>
  </w:style>
  <w:style w:type="character" w:styleId="611">
    <w:name w:val="Оглавление 6 Знак11"/>
    <w:link w:val="6111"/>
    <w:qFormat/>
    <w:rPr>
      <w:rFonts w:ascii="XO Thames" w:hAnsi="XO Thames"/>
      <w:color w:val="000000"/>
      <w:sz w:val="28"/>
    </w:rPr>
  </w:style>
  <w:style w:type="character" w:styleId="411">
    <w:name w:val="Заголовок 4 Знак11"/>
    <w:link w:val="41111"/>
    <w:qFormat/>
    <w:rPr>
      <w:rFonts w:ascii="XO Thames" w:hAnsi="XO Thames"/>
      <w:b/>
      <w:color w:val="000000"/>
      <w:sz w:val="24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z w:val="26"/>
    </w:rPr>
  </w:style>
  <w:style w:type="character" w:styleId="Style9">
    <w:name w:val="Заголовок"/>
    <w:link w:val="12111111"/>
    <w:qFormat/>
    <w:rPr>
      <w:rFonts w:ascii="Open Sans" w:hAnsi="Open Sans"/>
      <w:sz w:val="28"/>
    </w:rPr>
  </w:style>
  <w:style w:type="character" w:styleId="Contents81">
    <w:name w:val="Contents 81"/>
    <w:link w:val="Contents811"/>
    <w:qFormat/>
    <w:rPr>
      <w:rFonts w:ascii="XO Thames" w:hAnsi="XO Thames"/>
      <w:color w:val="000000"/>
      <w:sz w:val="28"/>
    </w:rPr>
  </w:style>
  <w:style w:type="character" w:styleId="711">
    <w:name w:val="Оглавление 7 Знак11"/>
    <w:link w:val="7111"/>
    <w:qFormat/>
    <w:rPr>
      <w:rFonts w:ascii="XO Thames" w:hAnsi="XO Thames"/>
      <w:color w:val="000000"/>
      <w:sz w:val="28"/>
    </w:rPr>
  </w:style>
  <w:style w:type="character" w:styleId="4">
    <w:name w:val="Оглавление 4 Знак"/>
    <w:link w:val="412"/>
    <w:qFormat/>
    <w:rPr>
      <w:rFonts w:ascii="XO Thames" w:hAnsi="XO Thames"/>
      <w:color w:val="000000"/>
      <w:spacing w:val="0"/>
      <w:sz w:val="28"/>
    </w:rPr>
  </w:style>
  <w:style w:type="character" w:styleId="Style10">
    <w:name w:val="Колонтитул"/>
    <w:link w:val="17"/>
    <w:qFormat/>
    <w:rPr>
      <w:rFonts w:ascii="XO Thames" w:hAnsi="XO Thames"/>
      <w:color w:val="000000"/>
      <w:sz w:val="20"/>
    </w:rPr>
  </w:style>
  <w:style w:type="character" w:styleId="Heading111">
    <w:name w:val="Heading 111"/>
    <w:link w:val="Heading1111"/>
    <w:qFormat/>
    <w:rPr>
      <w:rFonts w:ascii="XO Thames" w:hAnsi="XO Thames"/>
      <w:b/>
      <w:color w:val="000000"/>
      <w:sz w:val="32"/>
    </w:rPr>
  </w:style>
  <w:style w:type="character" w:styleId="6">
    <w:name w:val="Оглавление 6 Знак"/>
    <w:link w:val="61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211">
    <w:name w:val="Оглавление 2 Знак11"/>
    <w:link w:val="21111"/>
    <w:qFormat/>
    <w:rPr>
      <w:rFonts w:ascii="XO Thames" w:hAnsi="XO Thames"/>
      <w:color w:val="000000"/>
      <w:sz w:val="28"/>
    </w:rPr>
  </w:style>
  <w:style w:type="character" w:styleId="Footnote1">
    <w:name w:val="Footnote1"/>
    <w:link w:val="Footnote11"/>
    <w:qFormat/>
    <w:rPr>
      <w:rFonts w:ascii="XO Thames" w:hAnsi="XO Thames"/>
      <w:color w:val="000000"/>
      <w:sz w:val="22"/>
    </w:rPr>
  </w:style>
  <w:style w:type="character" w:styleId="Textbody1">
    <w:name w:val="Text body1"/>
    <w:link w:val="Textbody11"/>
    <w:qFormat/>
    <w:rPr>
      <w:rFonts w:ascii="Calibri" w:hAnsi="Calibri" w:asciiTheme="minorAscii" w:hAnsiTheme="minorHAnsi"/>
      <w:color w:val="000000"/>
      <w:sz w:val="22"/>
    </w:rPr>
  </w:style>
  <w:style w:type="character" w:styleId="Contents21">
    <w:name w:val="Contents 21"/>
    <w:link w:val="Contents211"/>
    <w:qFormat/>
    <w:rPr>
      <w:rFonts w:ascii="XO Thames" w:hAnsi="XO Thames"/>
      <w:color w:val="000000"/>
      <w:sz w:val="28"/>
    </w:rPr>
  </w:style>
  <w:style w:type="character" w:styleId="Title11">
    <w:name w:val="Title11"/>
    <w:link w:val="Title111"/>
    <w:qFormat/>
    <w:rPr>
      <w:rFonts w:ascii="XO Thames" w:hAnsi="XO Thames"/>
      <w:b/>
      <w:caps/>
      <w:color w:val="000000"/>
      <w:sz w:val="40"/>
    </w:rPr>
  </w:style>
  <w:style w:type="character" w:styleId="Header11">
    <w:name w:val="Header11"/>
    <w:link w:val="Header111"/>
    <w:qFormat/>
    <w:rPr>
      <w:rFonts w:ascii="Calibri" w:hAnsi="Calibri" w:asciiTheme="minorAscii" w:hAnsiTheme="minorHAnsi"/>
      <w:color w:val="000000"/>
      <w:sz w:val="22"/>
    </w:rPr>
  </w:style>
  <w:style w:type="character" w:styleId="Textbody">
    <w:name w:val="Text body"/>
    <w:qFormat/>
    <w:rPr/>
  </w:style>
  <w:style w:type="character" w:styleId="List1">
    <w:name w:val="List1"/>
    <w:basedOn w:val="Textbody"/>
    <w:qFormat/>
    <w:rPr/>
  </w:style>
  <w:style w:type="character" w:styleId="5">
    <w:name w:val="Заголовок 5 Знак"/>
    <w:link w:val="512"/>
    <w:qFormat/>
    <w:rPr>
      <w:rFonts w:ascii="XO Thames" w:hAnsi="XO Thames"/>
      <w:b/>
      <w:color w:val="000000"/>
      <w:spacing w:val="0"/>
      <w:sz w:val="22"/>
    </w:rPr>
  </w:style>
  <w:style w:type="character" w:styleId="51">
    <w:name w:val="Оглавление 5 Знак"/>
    <w:link w:val="513"/>
    <w:qFormat/>
    <w:rPr>
      <w:rFonts w:ascii="XO Thames" w:hAnsi="XO Thames"/>
      <w:color w:val="000000"/>
      <w:spacing w:val="0"/>
      <w:sz w:val="28"/>
    </w:rPr>
  </w:style>
  <w:style w:type="character" w:styleId="11">
    <w:name w:val="Подзаголовок Знак11"/>
    <w:link w:val="1116"/>
    <w:qFormat/>
    <w:rPr>
      <w:rFonts w:ascii="XO Thames" w:hAnsi="XO Thames"/>
      <w:i/>
      <w:color w:val="000000"/>
      <w:sz w:val="24"/>
    </w:rPr>
  </w:style>
  <w:style w:type="character" w:styleId="111">
    <w:name w:val="Нижний колонтитул Знак11"/>
    <w:basedOn w:val="1111"/>
    <w:link w:val="1117"/>
    <w:qFormat/>
    <w:rPr>
      <w:rFonts w:ascii="Times New Roman" w:hAnsi="Times New Roman"/>
      <w:sz w:val="28"/>
    </w:rPr>
  </w:style>
  <w:style w:type="character" w:styleId="Caption11">
    <w:name w:val="Caption11"/>
    <w:link w:val="Caption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3">
    <w:name w:val="Contents 3"/>
    <w:qFormat/>
    <w:rPr>
      <w:rFonts w:ascii="XO Thames" w:hAnsi="XO Thames"/>
      <w:color w:val="000000"/>
      <w:sz w:val="28"/>
    </w:rPr>
  </w:style>
  <w:style w:type="character" w:styleId="Header1">
    <w:name w:val="Header1"/>
    <w:qFormat/>
    <w:rPr/>
  </w:style>
  <w:style w:type="character" w:styleId="1111">
    <w:name w:val="Обычный111"/>
    <w:link w:val="11111"/>
    <w:qFormat/>
    <w:rPr>
      <w:rFonts w:ascii="Calibri" w:hAnsi="Calibri" w:asciiTheme="minorAscii" w:hAnsiTheme="minorHAnsi"/>
      <w:color w:val="000000"/>
      <w:sz w:val="22"/>
    </w:rPr>
  </w:style>
  <w:style w:type="character" w:styleId="1112">
    <w:name w:val="Основной шрифт абзаца111"/>
    <w:link w:val="11112"/>
    <w:qFormat/>
    <w:rPr>
      <w:rFonts w:ascii="Calibri" w:hAnsi="Calibri" w:asciiTheme="minorAscii" w:hAnsiTheme="minorHAnsi"/>
      <w:color w:val="000000"/>
      <w:sz w:val="22"/>
    </w:rPr>
  </w:style>
  <w:style w:type="character" w:styleId="1113">
    <w:name w:val="Гиперссылка111"/>
    <w:basedOn w:val="1112"/>
    <w:link w:val="11113"/>
    <w:qFormat/>
    <w:rPr>
      <w:color w:themeColor="hyperlink" w:val="0563C1"/>
      <w:u w:val="single"/>
    </w:rPr>
  </w:style>
  <w:style w:type="character" w:styleId="7">
    <w:name w:val="Оглавление 7 Знак"/>
    <w:link w:val="712"/>
    <w:qFormat/>
    <w:rPr>
      <w:rFonts w:ascii="XO Thames" w:hAnsi="XO Thames"/>
      <w:color w:val="000000"/>
      <w:spacing w:val="0"/>
      <w:sz w:val="28"/>
    </w:rPr>
  </w:style>
  <w:style w:type="character" w:styleId="Contents11">
    <w:name w:val="Contents 11"/>
    <w:link w:val="Contents111"/>
    <w:qFormat/>
    <w:rPr>
      <w:rFonts w:ascii="XO Thames" w:hAnsi="XO Thames"/>
      <w:b/>
      <w:color w:val="000000"/>
      <w:sz w:val="28"/>
    </w:rPr>
  </w:style>
  <w:style w:type="character" w:styleId="List11">
    <w:name w:val="List11"/>
    <w:basedOn w:val="Textbody1"/>
    <w:link w:val="List111"/>
    <w:qFormat/>
    <w:rPr/>
  </w:style>
  <w:style w:type="character" w:styleId="41">
    <w:name w:val="Заголовок 4 Знак"/>
    <w:link w:val="413"/>
    <w:qFormat/>
    <w:rPr>
      <w:rFonts w:ascii="XO Thames" w:hAnsi="XO Thames"/>
      <w:b/>
      <w:color w:val="000000"/>
      <w:spacing w:val="0"/>
      <w:sz w:val="24"/>
    </w:rPr>
  </w:style>
  <w:style w:type="character" w:styleId="112">
    <w:name w:val="Указатель11"/>
    <w:link w:val="1118"/>
    <w:qFormat/>
    <w:rPr/>
  </w:style>
  <w:style w:type="character" w:styleId="8">
    <w:name w:val="Оглавление 8 Знак"/>
    <w:link w:val="81"/>
    <w:qFormat/>
    <w:rPr>
      <w:rFonts w:ascii="XO Thames" w:hAnsi="XO Thames"/>
      <w:color w:val="000000"/>
      <w:spacing w:val="0"/>
      <w:sz w:val="28"/>
    </w:rPr>
  </w:style>
  <w:style w:type="character" w:styleId="Style11">
    <w:name w:val="Основной текст Знак"/>
    <w:basedOn w:val="14"/>
    <w:link w:val="18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Paragraph11">
    <w:name w:val="List Paragraph11"/>
    <w:link w:val="ListParagraph111"/>
    <w:qFormat/>
    <w:rPr/>
  </w:style>
  <w:style w:type="character" w:styleId="511">
    <w:name w:val="Заголовок 5 Знак11"/>
    <w:link w:val="51111"/>
    <w:qFormat/>
    <w:rPr>
      <w:rFonts w:ascii="XO Thames" w:hAnsi="XO Thames"/>
      <w:b/>
      <w:color w:val="000000"/>
      <w:sz w:val="22"/>
    </w:rPr>
  </w:style>
  <w:style w:type="character" w:styleId="21">
    <w:name w:val="Заголовок 2 Знак"/>
    <w:link w:val="213"/>
    <w:qFormat/>
    <w:rPr>
      <w:rFonts w:ascii="XO Thames" w:hAnsi="XO Thames"/>
      <w:b/>
      <w:color w:val="000000"/>
      <w:spacing w:val="0"/>
      <w:sz w:val="28"/>
    </w:rPr>
  </w:style>
  <w:style w:type="character" w:styleId="4111">
    <w:name w:val="Оглавление 4 Знак11"/>
    <w:link w:val="41112"/>
    <w:qFormat/>
    <w:rPr>
      <w:rFonts w:ascii="XO Thames" w:hAnsi="XO Thames"/>
      <w:color w:val="000000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z w:val="22"/>
    </w:rPr>
  </w:style>
  <w:style w:type="character" w:styleId="Contents41">
    <w:name w:val="Contents 41"/>
    <w:link w:val="Contents411"/>
    <w:qFormat/>
    <w:rPr>
      <w:rFonts w:ascii="XO Thames" w:hAnsi="XO Thames"/>
      <w:color w:val="000000"/>
      <w:sz w:val="28"/>
    </w:rPr>
  </w:style>
  <w:style w:type="character" w:styleId="Heading11">
    <w:name w:val="Heading 11"/>
    <w:qFormat/>
    <w:rPr>
      <w:rFonts w:ascii="XO Thames" w:hAnsi="XO Thames"/>
      <w:b/>
      <w:color w:val="000000"/>
      <w:sz w:val="32"/>
    </w:rPr>
  </w:style>
  <w:style w:type="character" w:styleId="PlainText11">
    <w:name w:val="Plain Text11"/>
    <w:link w:val="PlainText111"/>
    <w:qFormat/>
    <w:rPr>
      <w:rFonts w:ascii="Calibri" w:hAnsi="Calibri"/>
    </w:rPr>
  </w:style>
  <w:style w:type="character" w:styleId="911">
    <w:name w:val="Оглавление 9 Знак11"/>
    <w:link w:val="9111"/>
    <w:qFormat/>
    <w:rPr>
      <w:rFonts w:ascii="XO Thames" w:hAnsi="XO Thames"/>
      <w:color w:val="000000"/>
      <w:sz w:val="28"/>
    </w:rPr>
  </w:style>
  <w:style w:type="character" w:styleId="311">
    <w:name w:val="Заголовок 3 Знак11"/>
    <w:link w:val="31111"/>
    <w:qFormat/>
    <w:rPr>
      <w:rFonts w:ascii="XO Thames" w:hAnsi="XO Thames"/>
      <w:b/>
      <w:color w:val="000000"/>
      <w:sz w:val="26"/>
    </w:rPr>
  </w:style>
  <w:style w:type="character" w:styleId="Style12">
    <w:name w:val="Указатель"/>
    <w:link w:val="12111112"/>
    <w:qFormat/>
    <w:rPr/>
  </w:style>
  <w:style w:type="character" w:styleId="Hyperlink">
    <w:name w:val="Hyperlink"/>
    <w:basedOn w:val="DefaultParagraphFont11"/>
    <w:rPr>
      <w:rFonts w:ascii="Calibri" w:hAnsi="Calibri" w:asciiTheme="minorAscii" w:hAnsiTheme="minorHAnsi"/>
      <w:color w:themeColor="hyperlink" w:val="0563C1"/>
      <w:spacing w:val="0"/>
      <w:sz w:val="22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9">
    <w:name w:val="Оглавление 9 Знак"/>
    <w:link w:val="91"/>
    <w:qFormat/>
    <w:rPr>
      <w:rFonts w:ascii="XO Thames" w:hAnsi="XO Thames"/>
      <w:color w:val="000000"/>
      <w:spacing w:val="0"/>
      <w:sz w:val="28"/>
    </w:rPr>
  </w:style>
  <w:style w:type="character" w:styleId="Contents1">
    <w:name w:val="Contents 1"/>
    <w:qFormat/>
    <w:rPr>
      <w:rFonts w:ascii="XO Thames" w:hAnsi="XO Thames"/>
      <w:b/>
      <w:color w:val="000000"/>
      <w:sz w:val="28"/>
    </w:rPr>
  </w:style>
  <w:style w:type="character" w:styleId="1114">
    <w:name w:val="Оглавление 1 Знак11"/>
    <w:link w:val="11114"/>
    <w:qFormat/>
    <w:rPr>
      <w:rFonts w:ascii="XO Thames" w:hAnsi="XO Thames"/>
      <w:b/>
      <w:color w:val="00000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1">
    <w:name w:val="Заголовок 1 Знак"/>
    <w:link w:val="117"/>
    <w:qFormat/>
    <w:rPr>
      <w:rFonts w:ascii="XO Thames" w:hAnsi="XO Thames"/>
      <w:b/>
      <w:color w:val="000000"/>
      <w:spacing w:val="0"/>
      <w:sz w:val="32"/>
    </w:rPr>
  </w:style>
  <w:style w:type="character" w:styleId="1115">
    <w:name w:val="Заголовок 1 Знак11"/>
    <w:link w:val="11115"/>
    <w:qFormat/>
    <w:rPr>
      <w:rFonts w:ascii="XO Thames" w:hAnsi="XO Thames"/>
      <w:b/>
      <w:color w:val="000000"/>
      <w:sz w:val="32"/>
    </w:rPr>
  </w:style>
  <w:style w:type="character" w:styleId="Style13">
    <w:name w:val="Верхний колонтитул Знак"/>
    <w:basedOn w:val="14"/>
    <w:link w:val="1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1">
    <w:name w:val="Заголовок 2 Знак11"/>
    <w:link w:val="21112"/>
    <w:qFormat/>
    <w:rPr>
      <w:rFonts w:ascii="XO Thames" w:hAnsi="XO Thames"/>
      <w:b/>
      <w:color w:val="000000"/>
      <w:sz w:val="28"/>
    </w:rPr>
  </w:style>
  <w:style w:type="character" w:styleId="Footnote21">
    <w:name w:val="Footnote21"/>
    <w:link w:val="Footnote211"/>
    <w:qFormat/>
    <w:rPr>
      <w:rFonts w:ascii="XO Thames" w:hAnsi="XO Thames"/>
      <w:color w:val="000000"/>
      <w:sz w:val="22"/>
    </w:rPr>
  </w:style>
  <w:style w:type="character" w:styleId="Endnote11">
    <w:name w:val="Endnote11"/>
    <w:link w:val="Endnote111"/>
    <w:qFormat/>
    <w:rPr>
      <w:rFonts w:ascii="XO Thames" w:hAnsi="XO Thames"/>
      <w:color w:val="000000"/>
      <w:sz w:val="22"/>
    </w:rPr>
  </w:style>
  <w:style w:type="character" w:styleId="Contents9">
    <w:name w:val="Contents 9"/>
    <w:qFormat/>
    <w:rPr>
      <w:rFonts w:ascii="XO Thames" w:hAnsi="XO Thames"/>
      <w:color w:val="000000"/>
      <w:sz w:val="28"/>
    </w:rPr>
  </w:style>
  <w:style w:type="character" w:styleId="113">
    <w:name w:val="Заголовок Знак11"/>
    <w:link w:val="1119"/>
    <w:qFormat/>
    <w:rPr>
      <w:rFonts w:ascii="XO Thames" w:hAnsi="XO Thames"/>
      <w:b/>
      <w:caps/>
      <w:color w:val="000000"/>
      <w:sz w:val="40"/>
    </w:rPr>
  </w:style>
  <w:style w:type="character" w:styleId="Heading311">
    <w:name w:val="Heading 311"/>
    <w:link w:val="Heading3111"/>
    <w:qFormat/>
    <w:rPr>
      <w:rFonts w:ascii="XO Thames" w:hAnsi="XO Thames"/>
      <w:b/>
      <w:color w:val="000000"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aption2">
    <w:name w:val="caption2"/>
    <w:link w:val="Caption21"/>
    <w:qFormat/>
    <w:rPr>
      <w:i/>
      <w:sz w:val="24"/>
    </w:rPr>
  </w:style>
  <w:style w:type="character" w:styleId="Contents8">
    <w:name w:val="Contents 8"/>
    <w:qFormat/>
    <w:rPr>
      <w:rFonts w:ascii="XO Thames" w:hAnsi="XO Thames"/>
      <w:color w:val="000000"/>
      <w:sz w:val="28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z w:val="28"/>
    </w:rPr>
  </w:style>
  <w:style w:type="character" w:styleId="114">
    <w:name w:val="Колонтитул11"/>
    <w:link w:val="11110"/>
    <w:qFormat/>
    <w:rPr>
      <w:rFonts w:ascii="XO Thames" w:hAnsi="XO Thames"/>
      <w:color w:val="000000"/>
      <w:sz w:val="20"/>
    </w:rPr>
  </w:style>
  <w:style w:type="character" w:styleId="115">
    <w:name w:val="Заголовок11"/>
    <w:link w:val="11116"/>
    <w:qFormat/>
    <w:rPr>
      <w:rFonts w:ascii="Open Sans" w:hAnsi="Open Sans"/>
      <w:sz w:val="28"/>
    </w:rPr>
  </w:style>
  <w:style w:type="character" w:styleId="12">
    <w:name w:val="Оглавление 1 Знак"/>
    <w:link w:val="118"/>
    <w:qFormat/>
    <w:rPr>
      <w:rFonts w:ascii="XO Thames" w:hAnsi="XO Thames"/>
      <w:b/>
      <w:color w:val="000000"/>
      <w:spacing w:val="0"/>
      <w:sz w:val="28"/>
    </w:rPr>
  </w:style>
  <w:style w:type="character" w:styleId="Style14">
    <w:name w:val="Подзаголовок Знак"/>
    <w:link w:val="110"/>
    <w:qFormat/>
    <w:rPr>
      <w:rFonts w:ascii="XO Thames" w:hAnsi="XO Thames"/>
      <w:i/>
      <w:color w:val="000000"/>
      <w:spacing w:val="0"/>
      <w:sz w:val="24"/>
    </w:rPr>
  </w:style>
  <w:style w:type="character" w:styleId="Contents91">
    <w:name w:val="Contents 91"/>
    <w:link w:val="Contents911"/>
    <w:qFormat/>
    <w:rPr>
      <w:rFonts w:ascii="XO Thames" w:hAnsi="XO Thames"/>
      <w:color w:val="000000"/>
      <w:sz w:val="28"/>
    </w:rPr>
  </w:style>
  <w:style w:type="character" w:styleId="Style15">
    <w:name w:val="Список Знак"/>
    <w:basedOn w:val="Textbody"/>
    <w:link w:val="11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5111">
    <w:name w:val="Оглавление 5 Знак11"/>
    <w:link w:val="51112"/>
    <w:qFormat/>
    <w:rPr>
      <w:rFonts w:ascii="XO Thames" w:hAnsi="XO Thames"/>
      <w:color w:val="000000"/>
      <w:sz w:val="28"/>
    </w:rPr>
  </w:style>
  <w:style w:type="character" w:styleId="Contents5">
    <w:name w:val="Contents 5"/>
    <w:qFormat/>
    <w:rPr>
      <w:rFonts w:ascii="XO Thames" w:hAnsi="XO Thames"/>
      <w:color w:val="000000"/>
      <w:sz w:val="28"/>
    </w:rPr>
  </w:style>
  <w:style w:type="character" w:styleId="Style16">
    <w:name w:val="Название Знак"/>
    <w:link w:val="120"/>
    <w:qFormat/>
    <w:rPr>
      <w:rFonts w:ascii="XO Thames" w:hAnsi="XO Thames"/>
      <w:b/>
      <w:caps/>
      <w:color w:val="000000"/>
      <w:spacing w:val="0"/>
      <w:sz w:val="40"/>
    </w:rPr>
  </w:style>
  <w:style w:type="character" w:styleId="31">
    <w:name w:val="Заголовок 3 Знак"/>
    <w:link w:val="313"/>
    <w:qFormat/>
    <w:rPr>
      <w:rFonts w:ascii="XO Thames" w:hAnsi="XO Thames"/>
      <w:b/>
      <w:color w:val="000000"/>
      <w:spacing w:val="0"/>
      <w:sz w:val="26"/>
    </w:rPr>
  </w:style>
  <w:style w:type="character" w:styleId="Contents61">
    <w:name w:val="Contents 61"/>
    <w:link w:val="Contents611"/>
    <w:qFormat/>
    <w:rPr>
      <w:rFonts w:ascii="XO Thames" w:hAnsi="XO Thames"/>
      <w:color w:val="000000"/>
      <w:sz w:val="28"/>
    </w:rPr>
  </w:style>
  <w:style w:type="character" w:styleId="Subtitle1">
    <w:name w:val="Subtitle1"/>
    <w:qFormat/>
    <w:rPr>
      <w:rFonts w:ascii="XO Thames" w:hAnsi="XO Thames"/>
      <w:i/>
      <w:color w:val="000000"/>
      <w:sz w:val="24"/>
    </w:rPr>
  </w:style>
  <w:style w:type="character" w:styleId="Caption1">
    <w:name w:val="Caption1"/>
    <w:qFormat/>
    <w:rPr>
      <w:i/>
      <w:sz w:val="24"/>
    </w:rPr>
  </w:style>
  <w:style w:type="character" w:styleId="Style17">
    <w:name w:val="Нижний колонтитул Знак"/>
    <w:basedOn w:val="14"/>
    <w:link w:val="123"/>
    <w:qFormat/>
    <w:rPr>
      <w:rFonts w:ascii="Times New Roman" w:hAnsi="Times New Roman"/>
      <w:color w:val="000000"/>
      <w:spacing w:val="0"/>
      <w:sz w:val="28"/>
    </w:rPr>
  </w:style>
  <w:style w:type="character" w:styleId="Heading211">
    <w:name w:val="Heading 211"/>
    <w:link w:val="Heading2111"/>
    <w:qFormat/>
    <w:rPr>
      <w:rFonts w:ascii="XO Thames" w:hAnsi="XO Thames"/>
      <w:b/>
      <w:color w:val="000000"/>
      <w:sz w:val="28"/>
    </w:rPr>
  </w:style>
  <w:style w:type="character" w:styleId="Title1">
    <w:name w:val="Title1"/>
    <w:qFormat/>
    <w:rPr>
      <w:rFonts w:ascii="XO Thames" w:hAnsi="XO Thames"/>
      <w:b/>
      <w:caps/>
      <w:color w:val="00000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z w:val="24"/>
    </w:rPr>
  </w:style>
  <w:style w:type="character" w:styleId="DefaultParagraphFont11">
    <w:name w:val="Default Paragraph Font11"/>
    <w:link w:val="DefaultParagraphFont111"/>
    <w:qFormat/>
    <w:rPr>
      <w:rFonts w:ascii="Calibri" w:hAnsi="Calibri" w:asciiTheme="minorAscii" w:hAnsiTheme="minorHAnsi"/>
      <w:color w:val="000000"/>
      <w:sz w:val="22"/>
    </w:rPr>
  </w:style>
  <w:style w:type="character" w:styleId="3111">
    <w:name w:val="Оглавление 3 Знак11"/>
    <w:link w:val="31112"/>
    <w:qFormat/>
    <w:rPr>
      <w:rFonts w:ascii="XO Thames" w:hAnsi="XO Thames"/>
      <w:color w:val="000000"/>
      <w:sz w:val="28"/>
    </w:rPr>
  </w:style>
  <w:style w:type="character" w:styleId="811">
    <w:name w:val="Оглавление 8 Знак11"/>
    <w:link w:val="8111"/>
    <w:qFormat/>
    <w:rPr>
      <w:rFonts w:ascii="XO Thames" w:hAnsi="XO Thames"/>
      <w:color w:val="000000"/>
      <w:sz w:val="28"/>
    </w:rPr>
  </w:style>
  <w:style w:type="character" w:styleId="13">
    <w:name w:val="Гиперссылка1"/>
    <w:basedOn w:val="DefaultParagraphFont11"/>
    <w:link w:val="1110"/>
    <w:qFormat/>
    <w:rPr>
      <w:color w:themeColor="hyperlink" w:val="0563C1"/>
      <w:u w:val="single"/>
    </w:rPr>
  </w:style>
  <w:style w:type="character" w:styleId="14">
    <w:name w:val="Обычный1"/>
    <w:link w:val="1120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">
    <w:name w:val="Heading 21"/>
    <w:qFormat/>
    <w:rPr>
      <w:rFonts w:ascii="XO Thames" w:hAnsi="XO Thames"/>
      <w:b/>
      <w:color w:val="000000"/>
      <w:sz w:val="28"/>
    </w:rPr>
  </w:style>
  <w:style w:type="character" w:styleId="116">
    <w:name w:val="Верхний колонтитул Знак11"/>
    <w:basedOn w:val="1111"/>
    <w:link w:val="11117"/>
    <w:qFormat/>
    <w:rPr/>
  </w:style>
  <w:style w:type="paragraph" w:styleId="15">
    <w:name w:val="Заголовок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6">
    <w:name w:val="Указатель1"/>
    <w:basedOn w:val="Normal"/>
    <w:qFormat/>
    <w:pPr>
      <w:suppressLineNumbers/>
    </w:pPr>
    <w:rPr>
      <w:rFonts w:cs="Lohit Devanagari"/>
    </w:rPr>
  </w:style>
  <w:style w:type="paragraph" w:styleId="121">
    <w:name w:val="Заголовок12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22">
    <w:name w:val="Указатель12"/>
    <w:basedOn w:val="Normal"/>
    <w:qFormat/>
    <w:pPr>
      <w:suppressLineNumbers/>
    </w:pPr>
    <w:rPr>
      <w:rFonts w:cs="Lohit Devanagari"/>
    </w:rPr>
  </w:style>
  <w:style w:type="paragraph" w:styleId="1211">
    <w:name w:val="Заголовок12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212">
    <w:name w:val="Указатель121"/>
    <w:basedOn w:val="Normal"/>
    <w:qFormat/>
    <w:pPr>
      <w:suppressLineNumbers/>
    </w:pPr>
    <w:rPr>
      <w:rFonts w:cs="Lohit Devanagari"/>
    </w:rPr>
  </w:style>
  <w:style w:type="paragraph" w:styleId="12111">
    <w:name w:val="Заголовок12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2112">
    <w:name w:val="Указатель1211"/>
    <w:basedOn w:val="Normal"/>
    <w:qFormat/>
    <w:pPr>
      <w:suppressLineNumbers/>
    </w:pPr>
    <w:rPr>
      <w:rFonts w:cs="Lohit Devanagari"/>
    </w:rPr>
  </w:style>
  <w:style w:type="paragraph" w:styleId="121111">
    <w:name w:val="Заголовок121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21112">
    <w:name w:val="Указатель12111"/>
    <w:basedOn w:val="Normal"/>
    <w:qFormat/>
    <w:pPr>
      <w:suppressLineNumbers/>
    </w:pPr>
    <w:rPr>
      <w:rFonts w:cs="Lohit Devanagari"/>
    </w:rPr>
  </w:style>
  <w:style w:type="paragraph" w:styleId="1211111">
    <w:name w:val="Заголовок1211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211112">
    <w:name w:val="Указатель121111"/>
    <w:basedOn w:val="Normal"/>
    <w:qFormat/>
    <w:pPr>
      <w:suppressLineNumbers/>
    </w:pPr>
    <w:rPr>
      <w:rFonts w:cs="Lohit Devanagari"/>
    </w:rPr>
  </w:style>
  <w:style w:type="paragraph" w:styleId="12111111">
    <w:name w:val="Заголовок1211111"/>
    <w:basedOn w:val="Normal"/>
    <w:next w:val="BodyText"/>
    <w:link w:val="Style9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2111112">
    <w:name w:val="Указатель1211111"/>
    <w:basedOn w:val="Normal"/>
    <w:link w:val="Style12"/>
    <w:qFormat/>
    <w:pPr/>
    <w:rPr/>
  </w:style>
  <w:style w:type="paragraph" w:styleId="Internetlink11">
    <w:name w:val="Internet link11"/>
    <w:basedOn w:val="DefaultParagraphFont111"/>
    <w:link w:val="Internetlink1"/>
    <w:qFormat/>
    <w:pPr/>
    <w:rPr>
      <w:color w:themeColor="hyperlink" w:val="0563C1"/>
      <w:u w:val="single"/>
    </w:rPr>
  </w:style>
  <w:style w:type="paragraph" w:styleId="Heading5111">
    <w:name w:val="Heading 5111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">
    <w:name w:val="Оглавление 2 Знак1"/>
    <w:link w:val="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">
    <w:name w:val="Balloon Text111"/>
    <w:basedOn w:val="Normal"/>
    <w:link w:val="BalloonText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312">
    <w:name w:val="Оглавление 3 Знак1"/>
    <w:link w:val="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">
    <w:name w:val="Footer111"/>
    <w:link w:val="Foot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">
    <w:name w:val="Heading 4111"/>
    <w:link w:val="Heading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1">
    <w:name w:val="Subtitle111"/>
    <w:link w:val="Sub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1111">
    <w:name w:val="Footnote1111"/>
    <w:link w:val="Footnote11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1">
    <w:name w:val="Contents 311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21">
    <w:name w:val="Endnote21"/>
    <w:link w:val="Endnote2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1">
    <w:name w:val="Contents 711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11">
    <w:name w:val="Оглавление 6 Знак111"/>
    <w:link w:val="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">
    <w:name w:val="Заголовок 4 Знак111"/>
    <w:link w:val="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111">
    <w:name w:val="Оглавление 7 Знак111"/>
    <w:link w:val="7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Оглавление 4 Знак1"/>
    <w:link w:val="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Колонтитул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111">
    <w:name w:val="Heading 1111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61">
    <w:name w:val="Оглавление 6 Знак1"/>
    <w:link w:val="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Колонтитул2"/>
    <w:basedOn w:val="Normal"/>
    <w:qFormat/>
    <w:pPr/>
    <w:rPr/>
  </w:style>
  <w:style w:type="paragraph" w:styleId="32">
    <w:name w:val="Колонтитул3"/>
    <w:basedOn w:val="Normal"/>
    <w:qFormat/>
    <w:pPr/>
    <w:rPr/>
  </w:style>
  <w:style w:type="paragraph" w:styleId="42">
    <w:name w:val="Колонтитул4"/>
    <w:basedOn w:val="Normal"/>
    <w:qFormat/>
    <w:pPr/>
    <w:rPr/>
  </w:style>
  <w:style w:type="paragraph" w:styleId="52">
    <w:name w:val="Колонтитул5"/>
    <w:basedOn w:val="Normal"/>
    <w:qFormat/>
    <w:pPr/>
    <w:rPr/>
  </w:style>
  <w:style w:type="paragraph" w:styleId="62">
    <w:name w:val="Колонтитул6"/>
    <w:basedOn w:val="Normal"/>
    <w:qFormat/>
    <w:pPr/>
    <w:rPr/>
  </w:style>
  <w:style w:type="paragraph" w:styleId="71">
    <w:name w:val="Колонтитул7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21111">
    <w:name w:val="Оглавление 2 Знак111"/>
    <w:link w:val="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1">
    <w:name w:val="Text body11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1">
    <w:name w:val="Contents 211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">
    <w:name w:val="Title111"/>
    <w:link w:val="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111">
    <w:name w:val="Header111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2">
    <w:name w:val="Заголовок 5 Знак1"/>
    <w:link w:val="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513">
    <w:name w:val="Оглавление 5 Знак1"/>
    <w:link w:val="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6">
    <w:name w:val="Подзаголовок Знак111"/>
    <w:link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7">
    <w:name w:val="Нижний колонтитул Знак111"/>
    <w:basedOn w:val="11111"/>
    <w:link w:val="111"/>
    <w:qFormat/>
    <w:pPr/>
    <w:rPr>
      <w:rFonts w:ascii="Times New Roman" w:hAnsi="Times New Roman"/>
      <w:sz w:val="28"/>
    </w:rPr>
  </w:style>
  <w:style w:type="paragraph" w:styleId="Caption111">
    <w:name w:val="Caption111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111">
    <w:name w:val="Обычный1111"/>
    <w:link w:val="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2">
    <w:name w:val="Основной шрифт абзаца1111"/>
    <w:link w:val="1112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3">
    <w:name w:val="Гиперссылка1111"/>
    <w:basedOn w:val="11112"/>
    <w:link w:val="1113"/>
    <w:qFormat/>
    <w:pPr/>
    <w:rPr>
      <w:color w:themeColor="hyperlink" w:val="0563C1"/>
      <w:u w:val="single"/>
    </w:rPr>
  </w:style>
  <w:style w:type="paragraph" w:styleId="712">
    <w:name w:val="Оглавление 7 Знак1"/>
    <w:link w:val="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">
    <w:name w:val="Contents 111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">
    <w:name w:val="List111"/>
    <w:basedOn w:val="Textbody11"/>
    <w:link w:val="List11"/>
    <w:qFormat/>
    <w:pPr/>
    <w:rPr/>
  </w:style>
  <w:style w:type="paragraph" w:styleId="413">
    <w:name w:val="Заголовок 4 Знак1"/>
    <w:link w:val="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8">
    <w:name w:val="Указатель111"/>
    <w:basedOn w:val="Normal"/>
    <w:link w:val="112"/>
    <w:qFormat/>
    <w:pPr/>
    <w:rPr/>
  </w:style>
  <w:style w:type="paragraph" w:styleId="81">
    <w:name w:val="Оглавление 8 Знак1"/>
    <w:link w:val="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Основной текст Знак1"/>
    <w:basedOn w:val="1120"/>
    <w:link w:val="Style11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ListParagraph111">
    <w:name w:val="List Paragraph111"/>
    <w:basedOn w:val="Normal"/>
    <w:link w:val="ListParagraph11"/>
    <w:qFormat/>
    <w:pPr>
      <w:spacing w:lineRule="auto" w:line="276" w:before="0" w:after="200"/>
      <w:ind w:left="720"/>
      <w:contextualSpacing/>
    </w:pPr>
    <w:rPr/>
  </w:style>
  <w:style w:type="paragraph" w:styleId="51111">
    <w:name w:val="Заголовок 5 Знак111"/>
    <w:link w:val="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213">
    <w:name w:val="Заголовок 2 Знак1"/>
    <w:link w:val="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1112">
    <w:name w:val="Оглавление 4 Знак111"/>
    <w:link w:val="4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1">
    <w:name w:val="Contents 411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1">
    <w:name w:val="Plain Text111"/>
    <w:basedOn w:val="Normal"/>
    <w:link w:val="PlainText11"/>
    <w:qFormat/>
    <w:pPr>
      <w:spacing w:lineRule="auto" w:line="240" w:before="0" w:after="0"/>
    </w:pPr>
    <w:rPr>
      <w:rFonts w:ascii="Calibri" w:hAnsi="Calibri"/>
    </w:rPr>
  </w:style>
  <w:style w:type="paragraph" w:styleId="9111">
    <w:name w:val="Оглавление 9 Знак111"/>
    <w:link w:val="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">
    <w:name w:val="Заголовок 3 Знак111"/>
    <w:link w:val="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rnetlink">
    <w:name w:val="Internet link"/>
    <w:basedOn w:val="DefaultParagraphFont111"/>
    <w:qFormat/>
    <w:pPr/>
    <w:rPr>
      <w:rFonts w:ascii="Calibri" w:hAnsi="Calibri" w:asciiTheme="minorAscii" w:hAnsiTheme="minorHAnsi"/>
      <w:color w:themeColor="hyperlink" w:val="0563C1"/>
      <w:spacing w:val="0"/>
      <w:sz w:val="22"/>
      <w:u w:val="single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91">
    <w:name w:val="Оглавление 9 Знак1"/>
    <w:link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4">
    <w:name w:val="Оглавление 1 Знак111"/>
    <w:link w:val="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7">
    <w:name w:val="Заголовок 1 Знак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115">
    <w:name w:val="Заголовок 1 Знак111"/>
    <w:link w:val="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9">
    <w:name w:val="Верхний колонтитул Знак1"/>
    <w:basedOn w:val="1120"/>
    <w:link w:val="Style13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21112">
    <w:name w:val="Заголовок 2 Знак111"/>
    <w:link w:val="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">
    <w:name w:val="Footnote211"/>
    <w:link w:val="Footnote2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11">
    <w:name w:val="Endnote111"/>
    <w:link w:val="Endnote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9">
    <w:name w:val="Заголовок Знак111"/>
    <w:link w:val="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3111">
    <w:name w:val="Heading 3111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1">
    <w:name w:val="caption21"/>
    <w:basedOn w:val="Normal"/>
    <w:link w:val="Caption2"/>
    <w:qFormat/>
    <w:pPr>
      <w:spacing w:before="120" w:after="120"/>
    </w:pPr>
    <w:rPr>
      <w:i/>
      <w:sz w:val="24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0">
    <w:name w:val="Колонтитул111"/>
    <w:link w:val="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16">
    <w:name w:val="Заголовок111"/>
    <w:basedOn w:val="Normal"/>
    <w:next w:val="BodyText"/>
    <w:link w:val="115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8">
    <w:name w:val="Оглавление 1 Знак1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Подзаголовок Знак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11">
    <w:name w:val="Contents 911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Список Знак1"/>
    <w:basedOn w:val="BodyText"/>
    <w:link w:val="Style15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51112">
    <w:name w:val="Оглавление 5 Знак111"/>
    <w:link w:val="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0">
    <w:name w:val="Название Знак1"/>
    <w:link w:val="Style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313">
    <w:name w:val="Заголовок 3 Знак1"/>
    <w:link w:val="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611">
    <w:name w:val="Contents 611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3">
    <w:name w:val="Нижний колонтитул Знак1"/>
    <w:basedOn w:val="1120"/>
    <w:link w:val="Style17"/>
    <w:qFormat/>
    <w:pPr/>
    <w:rPr>
      <w:rFonts w:ascii="Times New Roman" w:hAnsi="Times New Roman"/>
      <w:color w:val="000000"/>
      <w:spacing w:val="0"/>
      <w:sz w:val="28"/>
    </w:rPr>
  </w:style>
  <w:style w:type="paragraph" w:styleId="Heading2111">
    <w:name w:val="Heading 2111"/>
    <w:link w:val="Heading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DefaultParagraphFont111">
    <w:name w:val="Default Paragraph Font111"/>
    <w:link w:val="DefaultParagraphFon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112">
    <w:name w:val="Оглавление 3 Знак111"/>
    <w:link w:val="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111">
    <w:name w:val="Оглавление 8 Знак111"/>
    <w:link w:val="8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0">
    <w:name w:val="Гиперссылка11"/>
    <w:basedOn w:val="DefaultParagraphFont111"/>
    <w:link w:val="13"/>
    <w:qFormat/>
    <w:pPr/>
    <w:rPr>
      <w:color w:themeColor="hyperlink" w:val="0563C1"/>
      <w:u w:val="single"/>
    </w:rPr>
  </w:style>
  <w:style w:type="paragraph" w:styleId="1120">
    <w:name w:val="Обычный11"/>
    <w:link w:val="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7">
    <w:name w:val="Верхний колонтитул Знак111"/>
    <w:basedOn w:val="11111"/>
    <w:link w:val="116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table" w:styleId="Style_110">
    <w:name w:val="Сетка таблицы2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1">
    <w:name w:val="Сетка таблицы1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2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ABF775C3B56124DF902987CF5FC45B41592FC1C1E0FCDB892CE1B86F3BAEB823BA766C12F3817FF4F3FAB7965E70038EA84E399A3AB4345900F084E7Q7D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LibreOffice/7.6.7.2$Linux_X86_64 LibreOffice_project/60$Build-2</Application>
  <AppVersion>15.0000</AppVersion>
  <Pages>13</Pages>
  <Words>3852</Words>
  <Characters>27383</Characters>
  <CharactersWithSpaces>31100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2025-04-08T14:09:29Z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