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7" w:rsidRDefault="00CB7873">
      <w:pPr>
        <w:ind w:firstLine="709"/>
        <w:jc w:val="both"/>
        <w:rPr>
          <w:b/>
          <w:i/>
          <w:color w:val="231F20"/>
        </w:rPr>
      </w:pPr>
      <w:r>
        <w:rPr>
          <w:b/>
          <w:i/>
        </w:rPr>
        <w:t>Минприроды Камчатского края информирует, что в случае выявления нарушений обязательных требований может объявить предостережение, а также как избежать получение предостережения</w:t>
      </w:r>
      <w:r>
        <w:rPr>
          <w:b/>
          <w:i/>
          <w:color w:val="231F20"/>
        </w:rPr>
        <w:t xml:space="preserve"> </w:t>
      </w:r>
    </w:p>
    <w:p w:rsidR="004C4357" w:rsidRDefault="004C4357">
      <w:pPr>
        <w:ind w:firstLine="709"/>
        <w:jc w:val="both"/>
        <w:rPr>
          <w:b/>
          <w:i/>
          <w:color w:val="231F20"/>
        </w:rPr>
      </w:pPr>
    </w:p>
    <w:p w:rsidR="004C4357" w:rsidRPr="00A06955" w:rsidRDefault="00CB7873">
      <w:pPr>
        <w:ind w:firstLine="709"/>
        <w:jc w:val="both"/>
        <w:rPr>
          <w:i/>
        </w:rPr>
      </w:pPr>
      <w:bookmarkStart w:id="0" w:name="_GoBack"/>
      <w:r w:rsidRPr="00A06955">
        <w:rPr>
          <w:i/>
        </w:rPr>
        <w:t>Когда объявляются предостережения</w:t>
      </w:r>
      <w:r w:rsidR="00A06955">
        <w:rPr>
          <w:i/>
        </w:rPr>
        <w:t xml:space="preserve">, </w:t>
      </w:r>
      <w:r w:rsidRPr="00A06955">
        <w:rPr>
          <w:i/>
        </w:rPr>
        <w:t>ч</w:t>
      </w:r>
      <w:r w:rsidRPr="00A06955">
        <w:rPr>
          <w:i/>
          <w:color w:val="231F20"/>
        </w:rPr>
        <w:t>то такое мобильное приложение «Инспектор» и как оно работает</w:t>
      </w:r>
      <w:r w:rsidR="00A06955">
        <w:rPr>
          <w:i/>
          <w:color w:val="231F20"/>
        </w:rPr>
        <w:t>?</w:t>
      </w:r>
      <w:bookmarkEnd w:id="0"/>
    </w:p>
    <w:p w:rsidR="004C4357" w:rsidRPr="00A06955" w:rsidRDefault="004C4357">
      <w:pPr>
        <w:ind w:firstLine="709"/>
        <w:jc w:val="both"/>
      </w:pPr>
    </w:p>
    <w:p w:rsidR="004C4357" w:rsidRDefault="00CB7873" w:rsidP="00272D8C">
      <w:pPr>
        <w:ind w:firstLine="709"/>
        <w:jc w:val="both"/>
      </w:pPr>
      <w:r>
        <w:t>Министерство природных ресурсов и экологии Камчатского края (далее — Министерство), являясь органом, уполномоченным на осуществление регионального государственного экологического контроля (надзора) и регионального государственного геологического контроля (надзора)</w:t>
      </w:r>
      <w:r w:rsidR="00272D8C">
        <w:t xml:space="preserve"> в Камчатском крае</w:t>
      </w:r>
      <w:r>
        <w:t>, в соответствии с частью 1 статьи 49 Федерального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248-ФЗ), пунктом 57 Положения о региональном государственном экологическом контроле (надзоре) в Камчатском крае, утвержденным постановлением Правительства Камчатского края от 25.10.2021 № 453-П (далее – Положение о экологическом контроле (надзоре)), пунктом 38 Положения о региональном государственном геологическом контроле (надзоре) в Камчатском крае, утвержденным постановлением Правительства Камчатского края от 25.10.2021 № 454-П (далее – Положение о геологическом контроле (надзоре))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целью недопущения нарушений обязательных требований уполномочено объявить контролируемому лицу предостережение о недопустимости нарушения обязательных требований и предложить принять меры по обеспечению соблюдения обязательных требований.</w:t>
      </w:r>
    </w:p>
    <w:p w:rsidR="004C4357" w:rsidRDefault="00CB7873" w:rsidP="00272D8C">
      <w:pPr>
        <w:ind w:firstLine="708"/>
        <w:jc w:val="both"/>
      </w:pPr>
      <w:r>
        <w:t>Предостережение формируется и направляется с использованием платформы для автоматизации процессов контрольно-надзорной деятельности «Типовое облачное решение контрольной (надзорной) деятельности» (ТОР КНД) и ФГИС «Единый реестр контрольных (надзорных) мероприятий».</w:t>
      </w:r>
    </w:p>
    <w:p w:rsidR="004C4357" w:rsidRDefault="00CB7873" w:rsidP="00272D8C">
      <w:pPr>
        <w:ind w:firstLine="708"/>
        <w:jc w:val="both"/>
      </w:pPr>
      <w:r>
        <w:t>Ознакомиться с содержанием Предостережения в электронной форме можно на портале ФГИС «Единый реестр контрольных (надзорных) мероприятий», пройдя по ссылке </w:t>
      </w:r>
      <w:hyperlink r:id="rId6" w:history="1">
        <w:r>
          <w:t>https://proverki.gov.ru</w:t>
        </w:r>
      </w:hyperlink>
      <w:r>
        <w:t xml:space="preserve"> или используя «QR-код», расположенный в предостережении.</w:t>
      </w:r>
    </w:p>
    <w:p w:rsidR="004C4357" w:rsidRDefault="00CB7873" w:rsidP="00272D8C">
      <w:pPr>
        <w:ind w:firstLine="708"/>
        <w:jc w:val="both"/>
      </w:pPr>
      <w:r>
        <w:t xml:space="preserve">В соответствии с частью 4 статьи 49 Федерального закона № 248-ФЗ, пунктом 61 Положения о экологическом контроле (надзоре), пунктом 38 Положения о геологическом контроле (надзоре) контролируемое лицо вправе после получения предостережения о недопустимости нарушения обязательных требований подать в Министерство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Министерством в течение 30 календарных дней со дня его получения, контролируемому лицу направляется ответ </w:t>
      </w:r>
      <w:r>
        <w:lastRenderedPageBreak/>
        <w:t>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C4357" w:rsidRDefault="00CB7873" w:rsidP="00272D8C">
      <w:pPr>
        <w:ind w:firstLine="708"/>
        <w:jc w:val="both"/>
      </w:pPr>
      <w:r>
        <w:t xml:space="preserve">Статьей 52 Федерального закона № 248-ФЗ, пунктом 57 Положения о экологическом контроле (надзоре), пунктом 38 Положения о геологическом контроле (надзоре) предусмотрено проведение профилактического визита. </w:t>
      </w:r>
    </w:p>
    <w:p w:rsidR="004C4357" w:rsidRDefault="00CB7873" w:rsidP="00272D8C">
      <w:pPr>
        <w:ind w:firstLine="708"/>
        <w:jc w:val="both"/>
      </w:pPr>
      <w:r>
        <w:t xml:space="preserve">С помощью мобильного приложения «Инспектор» (далее – МП «Инспектор»), разработанного </w:t>
      </w:r>
      <w:proofErr w:type="spellStart"/>
      <w:r>
        <w:t>Минцифры</w:t>
      </w:r>
      <w:proofErr w:type="spellEnd"/>
      <w:r>
        <w:t xml:space="preserve"> России для проведения профилактических мероприятий (консультирование, профилактический визит), контрольных (надзорных) мероприятий, а также оценки соискателей лицензии и лицензиатов лицензионным требованиям, профилактический визит можно провести в дистанционном формате (в режиме ВКС). Для работы в МП «Инспектор» потребуется установить приложение на мобильное устройство. Мобильное приложение доступно для скачивания по ссылке: </w:t>
      </w:r>
      <w:hyperlink r:id="rId7" w:history="1">
        <w:r>
          <w:rPr>
            <w:color w:val="0000FF"/>
            <w:u w:val="single"/>
          </w:rPr>
          <w:t>https://knd.gov.ru/document/mp</w:t>
        </w:r>
      </w:hyperlink>
      <w:r>
        <w:t>. Также по указанной ссылке размещена информация по подключению к ВКС и инструкции по работе в приложении.</w:t>
      </w:r>
    </w:p>
    <w:p w:rsidR="004C4357" w:rsidRDefault="00CB7873" w:rsidP="00272D8C">
      <w:pPr>
        <w:ind w:firstLine="708"/>
        <w:jc w:val="both"/>
      </w:pPr>
      <w:r>
        <w:t>Министерство настойчиво рекомендует контролируемым лицам при проведении контрольных (надзорных) и профилактических мероприятий использовать МП «Инспектор» в целях снижения нагрузки на бизнес, а также повышения качества и эффективности проводимых мероприятий.</w:t>
      </w:r>
    </w:p>
    <w:p w:rsidR="004C4357" w:rsidRDefault="00CB7873" w:rsidP="00272D8C">
      <w:pPr>
        <w:ind w:firstLine="708"/>
        <w:jc w:val="both"/>
      </w:pPr>
      <w:r>
        <w:t xml:space="preserve">Обращаем внимание, что контролируемое лицо вправе обратиться в контрольный (надзорный) орган с заявлением о проведении в отношении его профилактического визита.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:rsidR="004C4357" w:rsidRDefault="00CB7873" w:rsidP="00272D8C">
      <w:pPr>
        <w:ind w:firstLine="708"/>
        <w:jc w:val="both"/>
      </w:pPr>
      <w:r>
        <w:t>При принятии решения о проведении профилактического мероприятия в целях недопущения нарушений природоохранного законодательства необходимо направить в Министерство заявление о проведении профилактического визита с указанием предлагаемых сроков (периода) его проведения.</w:t>
      </w:r>
    </w:p>
    <w:p w:rsidR="004C4357" w:rsidRDefault="00CB7873" w:rsidP="00272D8C">
      <w:pPr>
        <w:ind w:firstLine="708"/>
        <w:jc w:val="both"/>
      </w:pPr>
      <w:r>
        <w:t xml:space="preserve">В электронном виде обратиться для проведения профилактического визита можно по ссылке </w:t>
      </w:r>
      <w:hyperlink r:id="rId8" w:history="1">
        <w:r>
          <w:rPr>
            <w:color w:val="0000FF"/>
            <w:u w:val="single"/>
          </w:rPr>
          <w:t>https://www.gosuslugi.ru/626705/1/form</w:t>
        </w:r>
      </w:hyperlink>
      <w:r>
        <w:t>.</w:t>
      </w:r>
    </w:p>
    <w:p w:rsidR="004C4357" w:rsidRDefault="00CB7873" w:rsidP="00272D8C">
      <w:pPr>
        <w:ind w:firstLine="708"/>
        <w:jc w:val="both"/>
      </w:pPr>
      <w:r>
        <w:t>После проведения профилактического визита Министерство просит оценить проведение</w:t>
      </w:r>
      <w:r>
        <w:rPr>
          <w:highlight w:val="white"/>
        </w:rPr>
        <w:t xml:space="preserve"> профилактического визита</w:t>
      </w:r>
      <w:r>
        <w:t xml:space="preserve">. Инструкция для оценки профилактического визита расположена </w:t>
      </w:r>
      <w:hyperlink r:id="rId9" w:history="1">
        <w:r>
          <w:rPr>
            <w:color w:val="0000EE"/>
            <w:highlight w:val="white"/>
            <w:u w:val="single" w:color="000000"/>
          </w:rPr>
          <w:t>по ссылке</w:t>
        </w:r>
      </w:hyperlink>
    </w:p>
    <w:p w:rsidR="004C4357" w:rsidRDefault="00CB7873" w:rsidP="00272D8C">
      <w:pPr>
        <w:ind w:firstLine="709"/>
        <w:jc w:val="both"/>
      </w:pPr>
      <w:r>
        <w:t xml:space="preserve"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r>
        <w:rPr>
          <w:u w:color="000000"/>
        </w:rPr>
        <w:t>части 4 статьи 40</w:t>
      </w:r>
      <w:r>
        <w:t xml:space="preserve"> </w:t>
      </w:r>
      <w:r>
        <w:rPr>
          <w:u w:color="000000"/>
        </w:rPr>
        <w:t xml:space="preserve">Федерального закона </w:t>
      </w:r>
      <w:r>
        <w:t>№ 248-ФЗ.</w:t>
      </w:r>
    </w:p>
    <w:p w:rsidR="004C4357" w:rsidRDefault="00CB7873" w:rsidP="00272D8C">
      <w:pPr>
        <w:ind w:firstLine="709"/>
        <w:jc w:val="both"/>
      </w:pPr>
      <w: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C4357" w:rsidRDefault="00CB7873" w:rsidP="00272D8C">
      <w:pPr>
        <w:ind w:firstLine="709"/>
        <w:jc w:val="both"/>
      </w:pPr>
      <w:r>
        <w:lastRenderedPageBreak/>
        <w:t xml:space="preserve">Досудебное обжалование решений контрольного (надзорного) органа, действий (бездействия) его должностных лиц осуществляется в соответствии с </w:t>
      </w:r>
      <w:r>
        <w:rPr>
          <w:u w:color="000000"/>
        </w:rPr>
        <w:t xml:space="preserve">главой 9 Федерального закона от </w:t>
      </w:r>
      <w:proofErr w:type="spellStart"/>
      <w:r>
        <w:t>от</w:t>
      </w:r>
      <w:proofErr w:type="spellEnd"/>
      <w:r>
        <w:t xml:space="preserve"> 31.07.2020 № 248-ФЗ.</w:t>
      </w:r>
    </w:p>
    <w:p w:rsidR="004C4357" w:rsidRDefault="00CB7873" w:rsidP="00272D8C">
      <w:pPr>
        <w:ind w:firstLine="708"/>
        <w:jc w:val="both"/>
      </w:pPr>
      <w:r>
        <w:rPr>
          <w:highlight w:val="white"/>
        </w:rPr>
        <w:t xml:space="preserve">Для подачи жалобы в личном кабинете портала </w:t>
      </w:r>
      <w:proofErr w:type="spellStart"/>
      <w:r>
        <w:rPr>
          <w:highlight w:val="white"/>
        </w:rPr>
        <w:t>Госуслуги</w:t>
      </w:r>
      <w:proofErr w:type="spellEnd"/>
      <w:r>
        <w:rPr>
          <w:highlight w:val="white"/>
        </w:rPr>
        <w:t xml:space="preserve"> нужно пройти</w:t>
      </w:r>
      <w:r>
        <w:t xml:space="preserve"> </w:t>
      </w:r>
      <w:hyperlink r:id="rId10" w:history="1">
        <w:r>
          <w:rPr>
            <w:color w:val="0000EE"/>
            <w:highlight w:val="white"/>
            <w:u w:val="single" w:color="000000"/>
          </w:rPr>
          <w:t>по ссылке</w:t>
        </w:r>
      </w:hyperlink>
    </w:p>
    <w:sectPr w:rsidR="004C4357">
      <w:headerReference w:type="default" r:id="rId11"/>
      <w:pgSz w:w="11906" w:h="16838"/>
      <w:pgMar w:top="1134" w:right="567" w:bottom="993" w:left="1134" w:header="34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F6" w:rsidRDefault="003A3BF6">
      <w:r>
        <w:separator/>
      </w:r>
    </w:p>
  </w:endnote>
  <w:endnote w:type="continuationSeparator" w:id="0">
    <w:p w:rsidR="003A3BF6" w:rsidRDefault="003A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F6" w:rsidRDefault="003A3BF6">
      <w:r>
        <w:separator/>
      </w:r>
    </w:p>
  </w:footnote>
  <w:footnote w:type="continuationSeparator" w:id="0">
    <w:p w:rsidR="003A3BF6" w:rsidRDefault="003A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57" w:rsidRDefault="00CB7873">
    <w:pPr>
      <w:jc w:val="center"/>
    </w:pPr>
    <w:r>
      <w:fldChar w:fldCharType="begin"/>
    </w:r>
    <w:r>
      <w:instrText>PAGE \* Arabic</w:instrText>
    </w:r>
    <w:r>
      <w:fldChar w:fldCharType="separate"/>
    </w:r>
    <w:r w:rsidR="00A06955">
      <w:rPr>
        <w:noProof/>
      </w:rPr>
      <w:t>3</w:t>
    </w:r>
    <w:r>
      <w:fldChar w:fldCharType="end"/>
    </w:r>
  </w:p>
  <w:p w:rsidR="004C4357" w:rsidRDefault="00CB7873">
    <w:pPr>
      <w:pStyle w:val="af2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C4357" w:rsidRDefault="004C4357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4C4357" w:rsidRDefault="004C435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57"/>
    <w:rsid w:val="00272D8C"/>
    <w:rsid w:val="002A4D8F"/>
    <w:rsid w:val="003A3BF6"/>
    <w:rsid w:val="004C4357"/>
    <w:rsid w:val="00A06955"/>
    <w:rsid w:val="00C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6B290-B216-4FB1-99EB-B9F6551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pPr>
      <w:keepNext/>
      <w:widowControl w:val="0"/>
      <w:jc w:val="center"/>
      <w:outlineLvl w:val="2"/>
    </w:p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Times New Roman" w:hAnsi="Times New Roman"/>
      <w:color w:val="000000"/>
      <w:spacing w:val="0"/>
      <w:sz w:val="28"/>
    </w:rPr>
  </w:style>
  <w:style w:type="paragraph" w:customStyle="1" w:styleId="a5">
    <w:name w:val="Заголовок"/>
    <w:basedOn w:val="a"/>
    <w:next w:val="a6"/>
    <w:link w:val="a7"/>
    <w:pPr>
      <w:keepNext/>
      <w:spacing w:before="240" w:after="120"/>
    </w:pPr>
    <w:rPr>
      <w:rFonts w:ascii="Liberation Sans" w:hAnsi="Liberation Sans"/>
    </w:rPr>
  </w:style>
  <w:style w:type="character" w:customStyle="1" w:styleId="a7">
    <w:name w:val="Заголовок"/>
    <w:basedOn w:val="1"/>
    <w:link w:val="a5"/>
    <w:rPr>
      <w:rFonts w:ascii="Liberation Sans" w:hAnsi="Liberation Sans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6">
    <w:name w:val="Body Text"/>
    <w:basedOn w:val="a"/>
    <w:link w:val="a8"/>
    <w:pPr>
      <w:widowControl w:val="0"/>
      <w:jc w:val="both"/>
    </w:pPr>
  </w:style>
  <w:style w:type="character" w:customStyle="1" w:styleId="a8">
    <w:name w:val="Основной текст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4">
    <w:name w:val="Подзаголовок1"/>
    <w:rPr>
      <w:rFonts w:ascii="XO Thames" w:hAnsi="XO Thames"/>
      <w:i/>
      <w:sz w:val="24"/>
    </w:rPr>
  </w:style>
  <w:style w:type="paragraph" w:styleId="ab">
    <w:name w:val="No Spacing"/>
    <w:link w:val="ac"/>
    <w:rPr>
      <w:rFonts w:asciiTheme="minorHAnsi" w:hAnsiTheme="minorHAnsi"/>
      <w:sz w:val="22"/>
    </w:rPr>
  </w:style>
  <w:style w:type="character" w:customStyle="1" w:styleId="ac">
    <w:name w:val="Без интервала Знак"/>
    <w:link w:val="ab"/>
    <w:rPr>
      <w:rFonts w:asciiTheme="minorHAnsi" w:hAnsiTheme="minorHAnsi"/>
      <w:color w:val="000000"/>
      <w:spacing w:val="0"/>
      <w:sz w:val="22"/>
    </w:rPr>
  </w:style>
  <w:style w:type="paragraph" w:customStyle="1" w:styleId="ad">
    <w:name w:val="Содержимое врезки"/>
    <w:basedOn w:val="a"/>
    <w:link w:val="ae"/>
  </w:style>
  <w:style w:type="character" w:customStyle="1" w:styleId="ae">
    <w:name w:val="Содержимое врезки"/>
    <w:basedOn w:val="1"/>
    <w:link w:val="ad"/>
    <w:rPr>
      <w:rFonts w:ascii="Times New Roman" w:hAnsi="Times New Roman"/>
      <w:color w:val="000000"/>
      <w:spacing w:val="0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pacing w:val="0"/>
      <w:sz w:val="28"/>
    </w:rPr>
  </w:style>
  <w:style w:type="paragraph" w:styleId="af">
    <w:name w:val="footer"/>
    <w:link w:val="af0"/>
  </w:style>
  <w:style w:type="character" w:customStyle="1" w:styleId="15">
    <w:name w:val="Нижний колонтитул1"/>
    <w:basedOn w:val="1"/>
    <w:rPr>
      <w:rFonts w:ascii="Times New Roman" w:hAnsi="Times New Roman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110">
    <w:name w:val="Заголовок 11"/>
    <w:rPr>
      <w:rFonts w:ascii="Calibri Light" w:hAnsi="Calibri Light"/>
      <w:b/>
      <w:sz w:val="3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color w:val="000000"/>
      <w:spacing w:val="0"/>
      <w:sz w:val="3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34">
    <w:name w:val="Основной шрифт абзаца3"/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1"/>
  </w:style>
  <w:style w:type="character" w:customStyle="1" w:styleId="210">
    <w:name w:val="Заголовок 21"/>
    <w:rPr>
      <w:rFonts w:ascii="Calibri Light" w:hAnsi="Calibri Light"/>
      <w:b/>
      <w:i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0">
    <w:name w:val="Нижний колонтитул Знак"/>
    <w:link w:val="af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af4">
    <w:name w:val="Знак Знак Знак Знак"/>
    <w:basedOn w:val="a"/>
    <w:link w:val="af5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Pr>
      <w:rFonts w:ascii="Verdana" w:hAnsi="Verdana"/>
      <w:color w:val="000000"/>
      <w:spacing w:val="0"/>
      <w:sz w:val="20"/>
    </w:rPr>
  </w:style>
  <w:style w:type="paragraph" w:styleId="af6">
    <w:name w:val="Title"/>
    <w:link w:val="af7"/>
    <w:uiPriority w:val="10"/>
    <w:qFormat/>
    <w:rPr>
      <w:rFonts w:ascii="XO Thames" w:hAnsi="XO Thames"/>
      <w:b/>
      <w:caps/>
      <w:sz w:val="40"/>
    </w:rPr>
  </w:style>
  <w:style w:type="character" w:customStyle="1" w:styleId="1b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8">
    <w:name w:val="Колонтитул"/>
    <w:link w:val="af9"/>
    <w:pPr>
      <w:jc w:val="both"/>
    </w:pPr>
    <w:rPr>
      <w:rFonts w:ascii="XO Thames" w:hAnsi="XO Thames"/>
    </w:rPr>
  </w:style>
  <w:style w:type="character" w:customStyle="1" w:styleId="af9">
    <w:name w:val="Колонтитул"/>
    <w:link w:val="af8"/>
    <w:rPr>
      <w:rFonts w:ascii="XO Thames" w:hAnsi="XO Thames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Pr>
      <w:rFonts w:ascii="Times New Roman" w:hAnsi="Times New Roman"/>
      <w:i/>
      <w:color w:val="000000"/>
      <w:spacing w:val="0"/>
      <w:sz w:val="24"/>
    </w:rPr>
  </w:style>
  <w:style w:type="paragraph" w:styleId="afc">
    <w:name w:val="List"/>
    <w:basedOn w:val="a6"/>
    <w:link w:val="afd"/>
  </w:style>
  <w:style w:type="character" w:customStyle="1" w:styleId="afd">
    <w:name w:val="Список Знак"/>
    <w:basedOn w:val="a8"/>
    <w:link w:val="afc"/>
    <w:rPr>
      <w:rFonts w:ascii="Times New Roman" w:hAnsi="Times New Roman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color w:val="000000"/>
      <w:spacing w:val="0"/>
      <w:sz w:val="28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e">
    <w:name w:val="Balloon Text"/>
    <w:basedOn w:val="a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color w:val="000000"/>
      <w:spacing w:val="0"/>
      <w:sz w:val="16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color w:val="000000"/>
      <w:spacing w:val="0"/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rFonts w:ascii="Times New Roman" w:hAnsi="Times New Roman"/>
      <w:color w:val="000000"/>
      <w:spacing w:val="0"/>
      <w:sz w:val="28"/>
    </w:rPr>
  </w:style>
  <w:style w:type="paragraph" w:customStyle="1" w:styleId="aff0">
    <w:name w:val="Знак"/>
    <w:basedOn w:val="a"/>
    <w:link w:val="aff1"/>
    <w:pPr>
      <w:spacing w:after="160" w:line="240" w:lineRule="exact"/>
    </w:pPr>
    <w:rPr>
      <w:rFonts w:ascii="Verdana" w:hAnsi="Verdana"/>
      <w:sz w:val="20"/>
    </w:rPr>
  </w:style>
  <w:style w:type="character" w:customStyle="1" w:styleId="aff1">
    <w:name w:val="Знак"/>
    <w:basedOn w:val="1"/>
    <w:link w:val="aff0"/>
    <w:rPr>
      <w:rFonts w:ascii="Verdana" w:hAnsi="Verdana"/>
      <w:color w:val="000000"/>
      <w:spacing w:val="0"/>
      <w:sz w:val="20"/>
    </w:rPr>
  </w:style>
  <w:style w:type="table" w:styleId="aff2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6705/1/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nd.gov.ru/document/m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verki.gov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lck.ru/VaTJ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FYsV/BesbBhP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Дронин Александр Владимирович</cp:lastModifiedBy>
  <cp:revision>5</cp:revision>
  <dcterms:created xsi:type="dcterms:W3CDTF">2024-12-27T03:16:00Z</dcterms:created>
  <dcterms:modified xsi:type="dcterms:W3CDTF">2024-12-27T06:18:00Z</dcterms:modified>
</cp:coreProperties>
</file>