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media/image4.png" ContentType="image/png"/>
  <Override PartName="/word/media/image3.wmf" ContentType="image/x-wmf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27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51" y="0"/>
                <wp:lineTo x="-51" y="20845"/>
                <wp:lineTo x="20918" y="20845"/>
                <wp:lineTo x="20918" y="0"/>
                <wp:lineTo x="-51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Style_1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Верхотурова»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</w:t>
      </w:r>
      <w:r>
        <w:rPr/>
        <w:br/>
      </w:r>
      <w:r>
        <w:rPr>
          <w:rFonts w:ascii="Times New Roman" w:hAnsi="Times New Roman"/>
          <w:sz w:val="28"/>
        </w:rPr>
        <w:t>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Верхотурова» согласно приложению 1 к настоящему постановлению;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Верхотурова» согласно приложению 2 к настоящему постановлению.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1"/>
        <w:tblW w:w="9532" w:type="dxa"/>
        <w:jc w:val="left"/>
        <w:tblInd w:w="-3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78"/>
        <w:gridCol w:w="3544"/>
        <w:gridCol w:w="2410"/>
      </w:tblGrid>
      <w:tr>
        <w:trPr>
          <w:trHeight w:val="1545" w:hRule="atLeast"/>
        </w:trPr>
        <w:tc>
          <w:tcPr>
            <w:tcW w:w="3578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Председатель Правительства Камчатского края</w:t>
            </w:r>
          </w:p>
        </w:tc>
        <w:tc>
          <w:tcPr>
            <w:tcW w:w="3544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479"/>
        <w:gridCol w:w="483"/>
        <w:gridCol w:w="3661"/>
        <w:gridCol w:w="480"/>
        <w:gridCol w:w="1873"/>
        <w:gridCol w:w="486"/>
        <w:gridCol w:w="1696"/>
      </w:tblGrid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«Остров Верхотурова»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Верхотурова»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эталонного природного комплекса северо-западной части Берингова моря, представленного расположенным на материковом шельфе Карагинского залива островом Верхотурова (максимальная отметка – 368,0 м над уровнем моря, размеры </w:t>
        <w:br/>
        <w:t>4,7 х 2,0 км) с заметно расчлененной эрозионными процессами поверхностью, возвышающимися останцами, крутыми, обрывистыми скалистыми берегами высотой 30–150 м, песчано-галечным пляжем 450–500 м длиной и 150–200 м шириной в его северной части, ограниченного с внутренней стороны крутым откосом древней морской террасы высотой около 15 м, постепенно повышающейся к югу, с горным плато высотой до 30 м в его юго-восточной части, обрывающимся в море мысами Южный и Юго-Восточный, бухтами и заливами открытого типа, с многочисленными крупными и мелкими кекурами, грядами подводных скал и камней, особенно у его юго-восточной оконечности, являющимися средой обитания гнездящихся морских колониальных птиц, морских и наземных млекопитающих;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редких видов животных и растений, занесенных в Красную книгу Российской Федерации и Красную книгу Камчатского края, таких как сапсан </w:t>
      </w:r>
      <w:r>
        <w:rPr>
          <w:rFonts w:ascii="Times New Roman" w:hAnsi="Times New Roman"/>
          <w:i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конюга-крошка </w:t>
      </w:r>
      <w:r>
        <w:rPr>
          <w:rFonts w:ascii="Times New Roman" w:hAnsi="Times New Roman"/>
          <w:i/>
          <w:sz w:val="28"/>
        </w:rPr>
        <w:t>Aethia pusilla</w:t>
      </w:r>
      <w:r>
        <w:rPr>
          <w:rFonts w:ascii="Times New Roman" w:hAnsi="Times New Roman"/>
          <w:sz w:val="28"/>
        </w:rPr>
        <w:t xml:space="preserve">, белобрюшка </w:t>
      </w:r>
      <w:r>
        <w:rPr>
          <w:rFonts w:ascii="Times New Roman" w:hAnsi="Times New Roman"/>
          <w:i/>
          <w:sz w:val="28"/>
        </w:rPr>
        <w:t>Aethia psittacula</w:t>
      </w:r>
      <w:r>
        <w:rPr>
          <w:rFonts w:ascii="Times New Roman" w:hAnsi="Times New Roman"/>
          <w:sz w:val="28"/>
        </w:rPr>
        <w:t xml:space="preserve">, сивуч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, ива овальнолистная </w:t>
      </w:r>
      <w:r>
        <w:rPr>
          <w:rFonts w:ascii="Times New Roman" w:hAnsi="Times New Roman"/>
          <w:i/>
          <w:sz w:val="28"/>
        </w:rPr>
        <w:t>Salix ovalifolia</w:t>
      </w:r>
      <w:r>
        <w:rPr>
          <w:rFonts w:ascii="Times New Roman" w:hAnsi="Times New Roman"/>
          <w:sz w:val="28"/>
        </w:rPr>
        <w:t xml:space="preserve">, родиола розовая </w:t>
      </w:r>
      <w:r>
        <w:rPr>
          <w:rFonts w:ascii="Times New Roman" w:hAnsi="Times New Roman"/>
          <w:i/>
          <w:sz w:val="28"/>
        </w:rPr>
        <w:t>Rhodiola rosea</w:t>
      </w:r>
      <w:r>
        <w:rPr>
          <w:rFonts w:ascii="Times New Roman" w:hAnsi="Times New Roman"/>
          <w:sz w:val="28"/>
        </w:rPr>
        <w:t xml:space="preserve">, горечавка простертая </w:t>
      </w:r>
      <w:r>
        <w:rPr>
          <w:rFonts w:ascii="Times New Roman" w:hAnsi="Times New Roman"/>
          <w:i/>
          <w:sz w:val="28"/>
        </w:rPr>
        <w:t>Gentiana prostrata</w:t>
      </w:r>
      <w:r>
        <w:rPr>
          <w:rFonts w:ascii="Times New Roman" w:hAnsi="Times New Roman"/>
          <w:sz w:val="28"/>
        </w:rPr>
        <w:t xml:space="preserve">, одуванчик Тамары </w:t>
      </w:r>
      <w:r>
        <w:rPr>
          <w:rFonts w:ascii="Times New Roman" w:hAnsi="Times New Roman"/>
          <w:i/>
          <w:sz w:val="28"/>
        </w:rPr>
        <w:t>Taraxacum tamarae</w:t>
      </w:r>
      <w:r>
        <w:rPr>
          <w:rFonts w:ascii="Times New Roman" w:hAnsi="Times New Roman"/>
          <w:sz w:val="28"/>
        </w:rPr>
        <w:t>, сохранение среды их обитания;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охрана ключевых мест гнездований 14 видов морских колониальных птиц общей численностью до 250–300 тысяч пар, образующих крупные «птичьи базары», охрана ключевых мест отдыха птиц в период их сезонных миграций;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охрана лежбищ морских млекопитающих, прежде всего сивуча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тихоокеанского моржа </w:t>
      </w:r>
      <w:r>
        <w:rPr>
          <w:rFonts w:ascii="Times New Roman" w:hAnsi="Times New Roman"/>
          <w:i/>
          <w:sz w:val="28"/>
        </w:rPr>
        <w:t>Odobenus rosmarus divergens;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охрана уникальной изолированной популяционной группировки песца </w:t>
      </w:r>
      <w:r>
        <w:rPr>
          <w:rFonts w:ascii="Times New Roman" w:hAnsi="Times New Roman"/>
          <w:i/>
          <w:sz w:val="28"/>
        </w:rPr>
        <w:t>Alopex lagopus</w:t>
      </w:r>
      <w:r>
        <w:rPr>
          <w:rFonts w:ascii="Times New Roman" w:hAnsi="Times New Roman"/>
          <w:sz w:val="28"/>
        </w:rPr>
        <w:t>;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минимизация негативного воздействия на естественные экологические системы острова Верхотурова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экологическое просвещение населения.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 областного  Совета   народных   депутатов   от  09.01.1981  № 9 «О памятниках природы на территории Камчатской области»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710,13 га.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auto" w:val="clear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 w:themeColor="text1"/>
          <w:sz w:val="28"/>
          <w:shd w:fill="auto" w:val="clear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</w:t>
      </w:r>
      <w:r>
        <w:rPr>
          <w:rFonts w:ascii="Times New Roman" w:hAnsi="Times New Roman"/>
          <w:color w:val="000000" w:themeColor="text1"/>
          <w:sz w:val="28"/>
        </w:rPr>
        <w:t xml:space="preserve">земельным и </w:t>
      </w:r>
      <w:r>
        <w:rPr>
          <w:rFonts w:ascii="Times New Roman" w:hAnsi="Times New Roman"/>
          <w:color w:val="000000" w:themeColor="text1"/>
          <w:sz w:val="28"/>
        </w:rPr>
        <w:t xml:space="preserve">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Олюторском муниципальном районе Камчатского края, в северо-западной части Берингова моря, в Карагинском заливе, в 19,4 км по прямой к югу от мыса Ильпинский и в 39,4 км по прямой к северу от мыса Голенищева острова Карагинский.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Берингова моря в период максимального отлива, оконтуривая кекуры и участки обнажающихся в отлив подводных скал и камней: от характерной точки 1 с географическими координатами 59 градусов 37 минут 43.0 секунды северной широты и 164 градуса 38 минут 48.5 секунды восточной долготы, расположенной в северо-западной части острова, проходит в общем восточном направлении на протяжении 1377,2 м через характерные точки 2–14 до характерной точки 15 с географическими координатами 59 градусов 37 минут 44.1 секунды северной широты и 164 градуса 40 минут 3.2 секунды восточной долготы, расположенной в северо-восточной части острова; далее от характерной точки 15 в общем южном направлении вдоль линии восточного побережья острова на протяжении 5102,4 м через характерные </w:t>
        <w:br/>
        <w:t xml:space="preserve">точки 16–59 до характерной точки 60 с географическими координатами </w:t>
        <w:br/>
        <w:t xml:space="preserve">59 градусов 35 минут 26.7 секунды северной широты и 164 градуса 41 минута 13.8 секунды восточной долготы, расположенной в районе мыса </w:t>
        <w:br/>
        <w:t xml:space="preserve">Юго-Восточный; далее от характерной точки 60 в общем западном направлении на протяжении 1093,1 м через характерные точки 61–74 до характерной точки 75 с географическими координатами 59 градусов 35 минут 21.1 секунды северной широты и 164 градуса 39 минут 55.4 секунды восточной долготы, расположенной на морском берегу мыса Южный; далее от характерной точки 75 в общем северном направлении вдоль западного берега острова на протяжении 5108,2 м через характерные точки 76–114 до характерной точки 1, где и замыкается.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строительство, реконструкция, капитальный ремонт объектов капитального строительства;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дноуглубительных и других работ, связанных с изменением дна прилегающей морской акватории и берегов острова;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 и рыболовства, сбор яиц морских колониальных птиц, добыча морских млекопитающих, за исключением деятельности, указанной в пункте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деятельность, ведущая к загрязнению прилегающей акватории Берингова моря;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  <w:tab/>
        <w:t>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частей 15 и 19 настоящего Положения);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tbl>
      <w:tblPr>
        <w:tblStyle w:val="Style_2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479"/>
        <w:gridCol w:w="483"/>
        <w:gridCol w:w="3661"/>
        <w:gridCol w:w="480"/>
        <w:gridCol w:w="1873"/>
        <w:gridCol w:w="486"/>
        <w:gridCol w:w="1696"/>
      </w:tblGrid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</w:tr>
    </w:tbl>
    <w:p>
      <w:pPr>
        <w:pStyle w:val="Normal"/>
        <w:ind w:left="0" w:right="0" w:firstLine="709"/>
        <w:jc w:val="both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Верхотурова»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jc w:val="center"/>
        <w:rPr/>
      </w:pPr>
      <w:r>
        <w:rPr/>
      </w:r>
    </w:p>
    <w:tbl>
      <w:tblPr>
        <w:tblStyle w:val="Style_1"/>
        <w:tblW w:w="9774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"/>
        <w:gridCol w:w="4144"/>
        <w:gridCol w:w="5066"/>
      </w:tblGrid>
      <w:tr>
        <w:trPr>
          <w:trHeight w:val="411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Камчатский край, </w:t>
              <w:br/>
              <w:t>Олюторский муниципальный район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Площадь объекта +/– величина погрешности определения площади </w:t>
              <w:br/>
              <w:t>(Р 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7101345 +/- 23317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tbl>
      <w:tblPr>
        <w:tblStyle w:val="Style_1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102"/>
        <w:gridCol w:w="2385"/>
      </w:tblGrid>
      <w:tr>
        <w:trPr>
          <w:trHeight w:val="159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 w:val="22"/>
                <w:szCs w:val="20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</w:r>
    </w:p>
    <w:tbl>
      <w:tblPr>
        <w:tblStyle w:val="Style_1"/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1713"/>
        <w:gridCol w:w="1738"/>
        <w:gridCol w:w="2102"/>
        <w:gridCol w:w="2385"/>
      </w:tblGrid>
      <w:tr>
        <w:trPr>
          <w:tblHeader w:val="true"/>
          <w:trHeight w:val="194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1296244.49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2410051.99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59°37'43.0''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164°38'48.5''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1296290.09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2410106.54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59°37'44.5''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164°38'51.9''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1296272.14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2410184.01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59°37'43.9''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164°38'56.9''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1296222.37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2410275.27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59°37'42.3''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1296154.32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2410362.01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59°37'40.1''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164°39'8.3''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1296100.00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2410457.81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59°37'38.3''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164°39'14.4''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1296063.83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2410548.98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164°39'20.2''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1296059.63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2410640.13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59°37'36.9''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1296073.51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2410740.30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1296132.97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2410844.92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59°37'39.3''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164°39'39.1''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1296178.75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2410954.08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59°37'40.8''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164°39'46.1''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1296229.11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2411031.40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59°37'42.4''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1296270.12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2411072.24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59°37'43.8''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1296306.75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2411140.46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59°37'44.9''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1296279.70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2411222.53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59°37'44.1''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1296197.99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2411277.45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59°37'41.4''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1296079.84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2411332.48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59°37'37.6''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164°40'10.2''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1295988.92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2411364.65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59°37'34.6''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164°40'12.2''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1295911.78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2411419.56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59°37'32.1''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1295866.41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2411483.47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59°37'30.8''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164°40'19.7''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1295834.85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2411547.34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59°37'29.6''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1295807.83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2411670.44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59°37'28.8''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164°40'31.7''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1295771.79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2411757.12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59°37'27.6''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164°40'37.2''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1295680.87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2411789.29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59°37'24.6''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1295558.06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2411812.43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59°37'20.7''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164°40'40.7''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1295467.19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2411858.32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59°37'17.7''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164°40'43.6''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1295376.46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2411913.23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164°40'47.1''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1295267.29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2411950.04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59°37'11.3''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1295140.02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2411973.25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59°37'7.2''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1295035.41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2411973.59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1294930.71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2411978.50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59°37'0.4''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1294848.90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2412001.52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59°36'57.7''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1294757.89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2412006.38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1294666.96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2411997.59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59°36'51.9''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1294553.03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2411975.15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59°36'48.2''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1294439.24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2411961.85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164°40'49.9''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1294343.71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2411980.40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59°36'41.4''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1294230.16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2412039.98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59°36'37.7''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1294089.36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2412113.39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59°36'33.2''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1293911.99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2412145.86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59°36'27.5''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1293775.54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2412150.88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59°36'23.0''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1293643.50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2412110.27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59°36'18.8''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164°40'59.3''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1293475.04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2412069.76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59°36'13.3''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164°40'56.7''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1293324.74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2412033.83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1293165.42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2411997.86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164°40'52.0''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1293028.80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2411984.64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59°35'58.9''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1292892.34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2411989.60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164°40'51.4''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1292787.85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2412026.42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59°35'51.1''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1292669.73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2412086.10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59°35'47.3''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164°40'57.5''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1292583.47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2412145.63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1292510.88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2412227.93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59°35'42.2''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164°41'6.6''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1292474.83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2412310.12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59°35'40.9''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164°41'11.8''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1292425.05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2412415.18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59°35'39.4''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164°41'18.5''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1292384.22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2412433.56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59°35'38.1''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164°41'19.6''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1292311.26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2412401.89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59°35'35.7''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164°41'17.6''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1292265.54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2412319.96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59°35'34.2''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1292206.31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2412301.91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59°35'32.3''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1292147.22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2412320.36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59°35'30.4''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164°41'12.4''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1292088.25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2412375.29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1292033.56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2412343.50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59°35'26.7''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164°41'13.8''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1291996.88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2412270.69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1291978.46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2412188.68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164°41'3.9''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1291987.32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2412106.57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164°40'58.7''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1292005.27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2412042.62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164°40'54.6''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1292005.05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2411974.21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164°40'50.8''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1291986.65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2411896.77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59°35'25.3''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164°40'45.3''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1291945.34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2411801.15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164°40'39.2''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1291940.37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2411673.44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164°40'31.1''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1291944.68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2411591.35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59°35'23.9''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164°40'25.9''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1291967.25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2411541.12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164°40'22.7''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1291912.51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2411491.13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59°35'22.9''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164°40'19.5''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1291862.46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2411445.70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59°35'21.3''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164°40'16.6''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1291825.77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2411363.72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59°35'20.1''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164°40'11.3''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1291816.22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2411226.93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59°35'19.8''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164°40'2.6''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1291856.88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2411112.81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59°35'21.1''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1291961.28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2411044.09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1292074.98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2411025.51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59°35'28.2''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1292211.29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2410970.37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59°35'32.6''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164°39'46.3''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1292361.30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2410915.19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59°35'37.5''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164°39'42.9''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1292502.12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2410841.87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59°35'42.0''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164°39'38.2''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1292661.03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2410741.09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59°35'47.2''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164°39'31.8''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1292733.60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2410640.58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59°35'49.5''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164°39'25.4''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1292819.69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2410512.64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59°35'52.3''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164°39'17.3''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1292937.73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2410416.58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59°35'56.1''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1293051.30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2410356.96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59°35'59.8''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164°39'7.4''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1293305.96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2410310.69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59°36'8.0''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164°39'4.5''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1293401.49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2410328.66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59°36'11.1''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164°39'5.7''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1293506.37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2410387.60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59°36'14.5''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1293592.78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2410410.17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59°36'17.3''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164°39'10.9''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1293706.65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2410419.00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59°36'20.9''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164°39'11.5''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1293802.04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2410382.26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59°36'24.1''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1293847.55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2410368.46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59°36'25.5''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164°39'8.3''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1293943.09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2410386.37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59°36'28.6''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164°39'9.4''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1294116.10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2410426.94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59°36'34.2''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164°39'12.0''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1294229.90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2410444.85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59°36'37.9''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164°39'13.2''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1294348.18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2410435.43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59°36'41.7''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164°39'12.6''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1294429.96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2410398.73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59°36'44.4''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164°39'10.3''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1294479.70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2410298.34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59°36'45.9''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164°39'3.9''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1294547.71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2410156.85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59°36'48.2''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164°38'54.9''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1294633.69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2410024.47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59°36'50.9''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1294729.06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2409942.19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59°36'54.1''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164°38'41.2''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1294797.29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2409919.21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59°36'56.3''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1294888.31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2409918.96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59°36'59.2''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1294992.92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2409918.68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1295070.20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2409904.81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59°37'5.1''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164°38'38.9''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1295147.45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2409881.81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59°37'7.6''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164°38'37.5''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1295261.25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2409899.73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59°37'11.3''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164°38'38.6''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1295370.58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2409917.67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59°37'14.8''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164°38'39.8''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1295484.40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2409944.74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59°37'18.5''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164°38'41.5''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1295634.62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2409998.96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59°37'23.3''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164°38'45.0''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1295789.45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2410035.00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59°37'28.4''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164°38'47.3''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1295944.22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2410043.72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59°37'33.3''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164°38'47.9''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1296103.39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2410029.58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59°37'38.5''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164°38'47.1''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1296189.81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2410020.26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59°37'41.5''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164°38'46.5'' </w:t>
            </w:r>
          </w:p>
        </w:tc>
      </w:tr>
      <w:tr>
        <w:trPr>
          <w:trHeight w:val="316" w:hRule="atLeast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1296244.49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2410051.99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59°37'43.0''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164°38'48.5'' </w:t>
            </w:r>
          </w:p>
        </w:tc>
      </w:tr>
    </w:tbl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 границ Памятника природы</w:t>
      </w:r>
    </w:p>
    <w:p>
      <w:pPr>
        <w:pStyle w:val="Normal"/>
        <w:jc w:val="center"/>
        <w:rPr/>
      </w:pPr>
      <w:r>
        <w:rPr/>
        <w:drawing>
          <wp:anchor behindDoc="1" distT="0" distB="0" distL="0" distR="0" simplePos="0" locked="0" layoutInCell="0" allowOverlap="1" relativeHeight="26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l="0" t="0" r="0" b="0"/>
            <wp:wrapNone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6116955" cy="7065010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36" t="5344" r="1577" b="1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857240" cy="6762115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418" w:right="851" w:gutter="0" w:header="709" w:top="1134" w:footer="0" w:bottom="1134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t>4</w:t>
                          </w:r>
                          <w:r>
                            <w:rPr>
                              <w:sz w:val="28"/>
                              <w:rFonts w:ascii="Times New Roman" w:hAnsi="Times New Roman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233.85pt;margin-top:0.05pt;width:14pt;height:15.9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fldChar w:fldCharType="separate"/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t>4</w:t>
                    </w:r>
                    <w:r>
                      <w:rPr>
                        <w:sz w:val="28"/>
                        <w:rFonts w:ascii="Times New Roman" w:hAnsi="Times New Roman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0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2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11">
    <w:name w:val="Гиперссылка1"/>
    <w:basedOn w:val="12"/>
    <w:link w:val="14"/>
    <w:qFormat/>
    <w:rPr>
      <w:color w:val="0000FF"/>
      <w:u w:val="single"/>
    </w:rPr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21">
    <w:name w:val="Основной шрифт абзаца2"/>
    <w:link w:val="24"/>
    <w:qFormat/>
    <w:rPr/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12">
    <w:name w:val="Основной шрифт абзаца1"/>
    <w:link w:val="15"/>
    <w:qFormat/>
    <w:rPr/>
  </w:style>
  <w:style w:type="character" w:styleId="13">
    <w:name w:val="Обычный1"/>
    <w:link w:val="16"/>
    <w:qFormat/>
    <w:rPr/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DefaultParagraphFont">
    <w:name w:val="Default Paragraph Font"/>
    <w:link w:val="DefaultParagraphFont1"/>
    <w:qFormat/>
    <w:rPr/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51">
    <w:name w:val="Заголовок 5 Знак"/>
    <w:link w:val="52"/>
    <w:qFormat/>
    <w:rPr>
      <w:rFonts w:ascii="XO Thames" w:hAnsi="XO Thames"/>
      <w:b/>
    </w:rPr>
  </w:style>
  <w:style w:type="character" w:styleId="Heading5">
    <w:name w:val="Heading 5"/>
    <w:qFormat/>
    <w:rPr>
      <w:rFonts w:ascii="XO Thames" w:hAnsi="XO Thames"/>
      <w:b/>
    </w:rPr>
  </w:style>
  <w:style w:type="character" w:styleId="22">
    <w:name w:val="Гиперссылка2"/>
    <w:link w:val="25"/>
    <w:qFormat/>
    <w:rPr>
      <w:color w:val="0000FF"/>
      <w:u w:val="single"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Style9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</w:rPr>
  </w:style>
  <w:style w:type="character" w:styleId="31">
    <w:name w:val="Гиперссылка3"/>
    <w:link w:val="34"/>
    <w:qFormat/>
    <w:rPr>
      <w:color w:val="0000FF"/>
      <w:u w:val="single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32">
    <w:name w:val="Основной шрифт абзаца3"/>
    <w:link w:val="35"/>
    <w:qFormat/>
    <w:rPr/>
  </w:style>
  <w:style w:type="character" w:styleId="Heading2">
    <w:name w:val="Heading 2"/>
    <w:qFormat/>
    <w:rPr>
      <w:rFonts w:ascii="XO Thames" w:hAnsi="XO Thames"/>
      <w:b/>
      <w:sz w:val="28"/>
    </w:rPr>
  </w:style>
  <w:style w:type="character" w:styleId="Header">
    <w:name w:val="Header"/>
    <w:qFormat/>
    <w:rPr/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23">
    <w:name w:val="TOC 2"/>
    <w:next w:val="Normal"/>
    <w:uiPriority w:val="39"/>
    <w:pPr>
      <w:widowControl/>
      <w:suppressAutoHyphens w:val="true"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suppressAutoHyphens w:val="true"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4">
    <w:name w:val="Гиперссылка1"/>
    <w:basedOn w:val="15"/>
    <w:link w:val="11"/>
    <w:qFormat/>
    <w:pPr>
      <w:widowControl/>
      <w:bidi w:val="0"/>
      <w:spacing w:lineRule="auto" w:line="264" w:before="0" w:after="160"/>
      <w:ind w:left="0" w:right="0" w:hanging="0"/>
      <w:jc w:val="left"/>
    </w:pPr>
    <w:rPr>
      <w:color w:val="0000FF"/>
      <w:u w:val="single"/>
    </w:rPr>
  </w:style>
  <w:style w:type="paragraph" w:styleId="6">
    <w:name w:val="TOC 6"/>
    <w:next w:val="Normal"/>
    <w:uiPriority w:val="39"/>
    <w:pPr>
      <w:widowControl/>
      <w:suppressAutoHyphens w:val="true"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24">
    <w:name w:val="Основной шрифт абзаца2"/>
    <w:link w:val="2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5">
    <w:name w:val="Основной шрифт абзаца1"/>
    <w:link w:val="1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6">
    <w:name w:val="Обычный1"/>
    <w:link w:val="13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33">
    <w:name w:val="TOC 3"/>
    <w:next w:val="Normal"/>
    <w:uiPriority w:val="39"/>
    <w:pPr>
      <w:widowControl/>
      <w:suppressAutoHyphens w:val="true"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5">
    <w:name w:val="Колонтитул"/>
    <w:qFormat/>
    <w:pPr>
      <w:widowControl/>
      <w:suppressAutoHyphens w:val="true"/>
      <w:bidi w:val="0"/>
      <w:spacing w:lineRule="auto" w:line="240" w:before="0" w:after="160"/>
      <w:ind w:left="0" w:right="0" w:hanging="0"/>
      <w:jc w:val="both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6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8"/>
    </w:rPr>
  </w:style>
  <w:style w:type="paragraph" w:styleId="52">
    <w:name w:val="Заголовок 5 Знак"/>
    <w:link w:val="5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25">
    <w:name w:val="Гиперссылка2"/>
    <w:link w:val="2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Internetlink">
    <w:name w:val="Internet link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34">
    <w:name w:val="Гиперссылка3"/>
    <w:link w:val="3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17">
    <w:name w:val="TOC 1"/>
    <w:next w:val="Normal"/>
    <w:uiPriority w:val="39"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53">
    <w:name w:val="TOC 5"/>
    <w:next w:val="Normal"/>
    <w:uiPriority w:val="39"/>
    <w:pPr>
      <w:widowControl/>
      <w:suppressAutoHyphens w:val="true"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Style17">
    <w:name w:val="Subtitle"/>
    <w:next w:val="Normal"/>
    <w:uiPriority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both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Style18">
    <w:name w:val="Title"/>
    <w:next w:val="Normal"/>
    <w:uiPriority w:val="10"/>
    <w:qFormat/>
    <w:pPr>
      <w:widowControl/>
      <w:suppressAutoHyphens w:val="true"/>
      <w:bidi w:val="0"/>
      <w:spacing w:lineRule="auto" w:line="264" w:before="567" w:after="567"/>
      <w:ind w:left="0" w:right="0" w:hanging="0"/>
      <w:jc w:val="center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35">
    <w:name w:val="Основной шрифт абзаца3"/>
    <w:link w:val="32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9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table" w:default="1" w:styleId="Style_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2">
    <w:name w:val="Table Grid"/>
    <w:basedOn w:val="Style_1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41">
    <w:name w:val="Сетка таблицы1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42">
    <w:name w:val="Сетка таблицы2"/>
    <w:basedOn w:val="Style_1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Application>LibreOffice/7.4.4.2$Linux_X86_64 LibreOffice_project/40$Build-2</Application>
  <AppVersion>15.0000</AppVersion>
  <Pages>12</Pages>
  <Words>2446</Words>
  <Characters>18511</Characters>
  <CharactersWithSpaces>20524</CharactersWithSpaces>
  <Paragraphs>703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2024-01-09T15:20:05Z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