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header1.xml" ContentType="application/vnd.openxmlformats-officedocument.wordprocessingml.header+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0"/>
        <w:jc w:val="center"/>
        <w:rPr>
          <w:b/>
          <w:b/>
          <w:bCs/>
        </w:rPr>
      </w:pPr>
      <w:r>
        <w:rPr>
          <w:rFonts w:cs="Times New Roman" w:ascii="Times New Roman" w:hAnsi="Times New Roman"/>
          <w:b/>
          <w:bCs/>
          <w:sz w:val="28"/>
          <w:szCs w:val="28"/>
        </w:rPr>
        <w:t>Отчет</w:t>
      </w:r>
    </w:p>
    <w:p>
      <w:pPr>
        <w:pStyle w:val="Normal"/>
        <w:spacing w:before="0" w:after="0"/>
        <w:jc w:val="center"/>
        <w:rPr>
          <w:b/>
          <w:b/>
          <w:bCs/>
        </w:rPr>
      </w:pPr>
      <w:r>
        <w:rPr>
          <w:rFonts w:cs="Times New Roman" w:ascii="Times New Roman" w:hAnsi="Times New Roman"/>
          <w:b/>
          <w:bCs/>
          <w:sz w:val="28"/>
          <w:szCs w:val="28"/>
        </w:rPr>
        <w:t xml:space="preserve">о деятельности горнопромышленных предприятий Камчатского края </w:t>
      </w:r>
    </w:p>
    <w:p>
      <w:pPr>
        <w:pStyle w:val="Normal"/>
        <w:spacing w:before="0" w:after="0"/>
        <w:jc w:val="center"/>
        <w:rPr>
          <w:b/>
          <w:b/>
          <w:bCs/>
        </w:rPr>
      </w:pPr>
      <w:r>
        <w:rPr>
          <w:rFonts w:cs="Times New Roman" w:ascii="Times New Roman" w:hAnsi="Times New Roman"/>
          <w:b/>
          <w:bCs/>
          <w:sz w:val="28"/>
          <w:szCs w:val="28"/>
        </w:rPr>
        <w:t>за 9 мес. 2023 года</w:t>
      </w:r>
    </w:p>
    <w:p>
      <w:pPr>
        <w:pStyle w:val="Normal"/>
        <w:spacing w:before="0" w:after="0"/>
        <w:jc w:val="center"/>
        <w:rPr>
          <w:b/>
          <w:b/>
          <w:bCs/>
        </w:rPr>
      </w:pPr>
      <w:r>
        <w:rPr>
          <w:b/>
          <w:bCs/>
        </w:rPr>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Минерально-сырьевая база Камчатского края характеризуется наличием широкого спектра полезных ископаемых, в том числе: энергетическое сырьё, сырьё для горнорудной и химической промышленности, строительные матери</w:t>
      </w:r>
      <w:r>
        <w:rPr>
          <w:rFonts w:cs="Times New Roman" w:ascii="Times New Roman" w:hAnsi="Times New Roman"/>
          <w:sz w:val="28"/>
          <w:szCs w:val="28"/>
          <w:shd w:fill="auto" w:val="clear"/>
        </w:rPr>
        <w:t xml:space="preserve">алы, подземные воды. </w:t>
      </w:r>
    </w:p>
    <w:p>
      <w:pPr>
        <w:pStyle w:val="Normal"/>
        <w:widowControl w:val="false"/>
        <w:spacing w:lineRule="auto" w:line="240" w:before="0" w:after="0"/>
        <w:ind w:firstLine="709"/>
        <w:jc w:val="both"/>
        <w:rPr/>
      </w:pPr>
      <w:r>
        <w:rPr>
          <w:rFonts w:cs="Times New Roman" w:ascii="Times New Roman" w:hAnsi="Times New Roman"/>
          <w:sz w:val="28"/>
          <w:szCs w:val="28"/>
          <w:shd w:fill="auto" w:val="clear"/>
        </w:rPr>
        <w:t xml:space="preserve">Территориальным балансом запасов полезных ископаемых Камчатского края по состоянию на 01.01.2023 (далее – Территориальный баланс запасов полезных ископаемых) учтено 430 месторождений с разведанными запасами, в том числе: горючих полезных ископаемых – </w:t>
      </w:r>
      <w:r>
        <w:rPr>
          <w:rFonts w:cs="Times New Roman" w:ascii="Times New Roman" w:hAnsi="Times New Roman"/>
          <w:b w:val="false"/>
          <w:bCs w:val="false"/>
          <w:sz w:val="28"/>
          <w:szCs w:val="28"/>
          <w:shd w:fill="auto" w:val="clear"/>
        </w:rPr>
        <w:t>11</w:t>
      </w:r>
      <w:r>
        <w:rPr>
          <w:rFonts w:cs="Times New Roman" w:ascii="Times New Roman" w:hAnsi="Times New Roman"/>
          <w:sz w:val="28"/>
          <w:szCs w:val="28"/>
          <w:shd w:fill="auto" w:val="clear"/>
        </w:rPr>
        <w:t xml:space="preserve"> (газ горючий – </w:t>
      </w:r>
      <w:r>
        <w:rPr>
          <w:rFonts w:cs="Times New Roman" w:ascii="Times New Roman" w:hAnsi="Times New Roman"/>
          <w:b w:val="false"/>
          <w:bCs w:val="false"/>
          <w:sz w:val="28"/>
          <w:szCs w:val="28"/>
          <w:shd w:fill="auto" w:val="clear"/>
        </w:rPr>
        <w:t>4</w:t>
      </w:r>
      <w:r>
        <w:rPr>
          <w:rFonts w:cs="Times New Roman" w:ascii="Times New Roman" w:hAnsi="Times New Roman"/>
          <w:sz w:val="28"/>
          <w:szCs w:val="28"/>
          <w:shd w:fill="auto" w:val="clear"/>
        </w:rPr>
        <w:t xml:space="preserve">, уголь – </w:t>
      </w:r>
      <w:r>
        <w:rPr>
          <w:rFonts w:cs="Times New Roman" w:ascii="Times New Roman" w:hAnsi="Times New Roman"/>
          <w:b/>
          <w:bCs/>
          <w:sz w:val="28"/>
          <w:szCs w:val="28"/>
          <w:shd w:fill="auto" w:val="clear"/>
        </w:rPr>
        <w:t>7</w:t>
      </w:r>
      <w:r>
        <w:rPr>
          <w:rFonts w:cs="Times New Roman" w:ascii="Times New Roman" w:hAnsi="Times New Roman"/>
          <w:sz w:val="28"/>
          <w:szCs w:val="28"/>
          <w:shd w:fill="auto" w:val="clear"/>
        </w:rPr>
        <w:t xml:space="preserve">), благородных металлов – </w:t>
      </w:r>
      <w:r>
        <w:rPr>
          <w:rFonts w:cs="Times New Roman" w:ascii="Times New Roman" w:hAnsi="Times New Roman"/>
          <w:b w:val="false"/>
          <w:bCs w:val="false"/>
          <w:sz w:val="28"/>
          <w:szCs w:val="28"/>
          <w:shd w:fill="auto" w:val="clear"/>
        </w:rPr>
        <w:t>72 (золото – 67, платина – 5), цветных металлов – 4</w:t>
      </w:r>
      <w:r>
        <w:rPr>
          <w:rFonts w:cs="Times New Roman" w:ascii="Times New Roman" w:hAnsi="Times New Roman"/>
          <w:sz w:val="28"/>
          <w:szCs w:val="28"/>
          <w:shd w:fill="auto" w:val="clear"/>
        </w:rPr>
        <w:t xml:space="preserve"> (никель, медь, кобальт – 1, ртуть – 3), титаномагнетитовых песков (железо, ванадий, титан) – </w:t>
      </w:r>
      <w:r>
        <w:rPr>
          <w:rFonts w:cs="Times New Roman" w:ascii="Times New Roman" w:hAnsi="Times New Roman"/>
          <w:b w:val="false"/>
          <w:bCs w:val="false"/>
          <w:sz w:val="28"/>
          <w:szCs w:val="28"/>
          <w:shd w:fill="auto" w:val="clear"/>
        </w:rPr>
        <w:t>1, подземных вод – 88</w:t>
      </w:r>
      <w:r>
        <w:rPr>
          <w:rFonts w:cs="Times New Roman" w:ascii="Times New Roman" w:hAnsi="Times New Roman"/>
          <w:sz w:val="28"/>
          <w:szCs w:val="28"/>
          <w:shd w:fill="auto" w:val="clear"/>
        </w:rPr>
        <w:t xml:space="preserve"> (теплоэнергетических – 15, минеральных – 3, питьевых и технических подземных – 70), грязей лечебных – </w:t>
      </w:r>
      <w:r>
        <w:rPr>
          <w:rFonts w:cs="Times New Roman" w:ascii="Times New Roman" w:hAnsi="Times New Roman"/>
          <w:b w:val="false"/>
          <w:bCs w:val="false"/>
          <w:sz w:val="28"/>
          <w:szCs w:val="28"/>
          <w:shd w:fill="auto" w:val="clear"/>
        </w:rPr>
        <w:t>1,</w:t>
      </w:r>
      <w:r>
        <w:rPr>
          <w:rFonts w:cs="Times New Roman" w:ascii="Times New Roman" w:hAnsi="Times New Roman"/>
          <w:sz w:val="28"/>
          <w:szCs w:val="28"/>
          <w:shd w:fill="auto" w:val="clear"/>
        </w:rPr>
        <w:t xml:space="preserve"> ювелирно-поделочных камней – </w:t>
      </w:r>
      <w:r>
        <w:rPr>
          <w:rFonts w:cs="Times New Roman" w:ascii="Times New Roman" w:hAnsi="Times New Roman"/>
          <w:b w:val="false"/>
          <w:bCs w:val="false"/>
          <w:sz w:val="28"/>
          <w:szCs w:val="28"/>
          <w:shd w:fill="auto" w:val="clear"/>
        </w:rPr>
        <w:t>4, серы – 1, цеолитизированных туфов – 1, красок минеральных – 1, общераспространенных полезных ископаемых – 252, в том числе торфа – 106.</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Деятельность в сфере недропользования в Камчатском крае осуществляют порядка 70 предприятий (без учета организаций, эксплуатирующих одиночные водозаборы на пресные подземные воды и участков недр, не связанных с добычей полезных ископаемых), на которых трудоустроено более 3000 человек.</w:t>
      </w:r>
    </w:p>
    <w:p>
      <w:pPr>
        <w:pStyle w:val="Normal"/>
        <w:widowControl w:val="false"/>
        <w:spacing w:lineRule="auto" w:line="240" w:before="120" w:after="120"/>
        <w:ind w:firstLine="709"/>
        <w:jc w:val="both"/>
        <w:rPr>
          <w:rFonts w:ascii="Times New Roman" w:hAnsi="Times New Roman" w:cs="Times New Roman"/>
          <w:b/>
          <w:b/>
          <w:sz w:val="28"/>
          <w:szCs w:val="28"/>
        </w:rPr>
      </w:pPr>
      <w:r>
        <w:rPr>
          <w:rFonts w:cs="Times New Roman" w:ascii="Times New Roman" w:hAnsi="Times New Roman"/>
          <w:b/>
          <w:sz w:val="28"/>
          <w:szCs w:val="28"/>
        </w:rPr>
        <w:t>Драгоценные металлы</w:t>
      </w:r>
    </w:p>
    <w:p>
      <w:pPr>
        <w:pStyle w:val="Normal"/>
        <w:widowControl w:val="false"/>
        <w:spacing w:lineRule="auto" w:line="252" w:before="0" w:after="0"/>
        <w:ind w:firstLine="709"/>
        <w:jc w:val="both"/>
        <w:rPr>
          <w:rFonts w:ascii="Times New Roman" w:hAnsi="Times New Roman" w:cs="Times New Roman"/>
          <w:sz w:val="28"/>
          <w:szCs w:val="28"/>
        </w:rPr>
      </w:pPr>
      <w:r>
        <w:rPr>
          <w:rFonts w:cs="Times New Roman" w:ascii="Times New Roman" w:hAnsi="Times New Roman"/>
          <w:sz w:val="28"/>
          <w:szCs w:val="28"/>
        </w:rPr>
        <w:t>В 2023 году на территории Камчатского края добычу драгоценных металлов (золото коренное и попутное серебро) осуществляли предприятия: АО «Аметистовое» (на Аметистовом месторождении), АО «Камчатское золото» (месторождение Бараньевское), АО «СиГМА» (на Озерновском месторождении), АО «ТСГ Асача» (на Асачинском месторождении). Добыча россыпного золота велась в бассейне ручья Каменистый (ООО «Камчатнедра») и на россыпи р. Камешковая (ООО «Дальнедра»).</w:t>
      </w:r>
    </w:p>
    <w:p>
      <w:pPr>
        <w:pStyle w:val="Normal"/>
        <w:widowControl w:val="false"/>
        <w:tabs>
          <w:tab w:val="clear" w:pos="709"/>
          <w:tab w:val="left" w:pos="567" w:leader="none"/>
        </w:tabs>
        <w:spacing w:lineRule="auto" w:line="252" w:before="0" w:after="0"/>
        <w:ind w:firstLine="709"/>
        <w:jc w:val="both"/>
        <w:rPr>
          <w:rFonts w:ascii="Times New Roman" w:hAnsi="Times New Roman" w:eastAsia="Times New Roman" w:cs="Times New Roman"/>
          <w:sz w:val="28"/>
          <w:szCs w:val="28"/>
          <w:lang w:eastAsia="ru-RU"/>
        </w:rPr>
      </w:pPr>
      <w:r>
        <w:rPr>
          <w:rFonts w:cs="Times New Roman" w:ascii="Times New Roman" w:hAnsi="Times New Roman"/>
          <w:spacing w:val="-2"/>
          <w:sz w:val="28"/>
          <w:szCs w:val="28"/>
        </w:rPr>
        <w:t>Добыча платиноидов в 2023 году на территории края не планировалась в связи с консервацией месторождений р. Левтыринваям и руч. Ледяной (недропользователь АО «Корякгеолдобыча») до 2025 года.</w:t>
      </w:r>
      <w:r>
        <w:rPr>
          <w:rFonts w:eastAsia="Times New Roman" w:cs="Times New Roman" w:ascii="Times New Roman" w:hAnsi="Times New Roman"/>
          <w:sz w:val="28"/>
          <w:szCs w:val="28"/>
          <w:lang w:eastAsia="ru-RU"/>
        </w:rPr>
        <w:t xml:space="preserve"> АО НПК «Геотехнология» в 2023 году разработку комплексного месторождения Шануч не осуществляло в связи с длящейся процедурой согласования проектной документации.</w:t>
      </w:r>
    </w:p>
    <w:p>
      <w:pPr>
        <w:pStyle w:val="Normal"/>
        <w:widowControl w:val="false"/>
        <w:tabs>
          <w:tab w:val="clear" w:pos="709"/>
          <w:tab w:val="left" w:pos="567" w:leader="none"/>
        </w:tabs>
        <w:spacing w:lineRule="auto" w:line="252"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По предварительным данным за 9 мес. 2023 года объём добычи драгоценных металлов в Камчатском крае составил: золото - 6253 кг (рудное – 6217 кг</w:t>
      </w:r>
      <w:r>
        <w:rPr>
          <w:rFonts w:eastAsia="Times New Roman" w:ascii="Times New Roman" w:hAnsi="Times New Roman"/>
          <w:sz w:val="28"/>
          <w:szCs w:val="28"/>
          <w:lang w:eastAsia="ru-RU"/>
        </w:rPr>
        <w:t>,</w:t>
      </w:r>
      <w:r>
        <w:rPr>
          <w:rFonts w:eastAsia="Times New Roman" w:cs="Times New Roman" w:ascii="Times New Roman" w:hAnsi="Times New Roman"/>
          <w:sz w:val="28"/>
          <w:szCs w:val="28"/>
          <w:lang w:eastAsia="ru-RU"/>
        </w:rPr>
        <w:t xml:space="preserve"> россыпное  - 35,6 кг), серебро – 13 281 кг,  что составляет соответственно 147,1% и 115,2% по отношению к объемам добычи за аналогичный период прошлого года.</w:t>
      </w:r>
    </w:p>
    <w:p>
      <w:pPr>
        <w:pStyle w:val="Normal"/>
        <w:widowControl w:val="false"/>
        <w:tabs>
          <w:tab w:val="clear" w:pos="709"/>
          <w:tab w:val="left" w:pos="567" w:leader="none"/>
        </w:tabs>
        <w:spacing w:lineRule="auto" w:line="252"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r>
    </w:p>
    <w:p>
      <w:pPr>
        <w:pStyle w:val="Normal"/>
        <w:widowControl w:val="false"/>
        <w:spacing w:lineRule="auto" w:line="240" w:before="120" w:after="120"/>
        <w:ind w:firstLine="709"/>
        <w:jc w:val="both"/>
        <w:rPr>
          <w:rFonts w:ascii="Times New Roman" w:hAnsi="Times New Roman" w:cs="Times New Roman"/>
          <w:b/>
          <w:b/>
          <w:sz w:val="28"/>
          <w:szCs w:val="28"/>
        </w:rPr>
      </w:pPr>
      <w:r>
        <w:rPr>
          <w:rFonts w:cs="Times New Roman" w:ascii="Times New Roman" w:hAnsi="Times New Roman"/>
          <w:b/>
          <w:sz w:val="28"/>
          <w:szCs w:val="28"/>
        </w:rPr>
        <w:t>Цветные металлы</w:t>
      </w:r>
    </w:p>
    <w:p>
      <w:pPr>
        <w:pStyle w:val="Normal"/>
        <w:widowControl w:val="false"/>
        <w:spacing w:before="0" w:after="0"/>
        <w:ind w:firstLine="709"/>
        <w:jc w:val="both"/>
        <w:rPr>
          <w:rFonts w:ascii="Times New Roman" w:hAnsi="Times New Roman" w:eastAsia="Times New Roman" w:cs="Times New Roman"/>
          <w:sz w:val="28"/>
          <w:szCs w:val="28"/>
          <w:lang w:eastAsia="ru-RU"/>
        </w:rPr>
      </w:pPr>
      <w:r>
        <w:rPr>
          <w:rFonts w:eastAsia="Times New Roman" w:cs="Times New Roman" w:ascii="Times New Roman" w:hAnsi="Times New Roman"/>
          <w:sz w:val="28"/>
          <w:szCs w:val="28"/>
          <w:lang w:eastAsia="ru-RU"/>
        </w:rPr>
        <w:t>Цветные металлы в Камчатском крае представлены никелем, медью, кобальтом, ртутью. Наиболее значимым для экономики края является никель, общие балансовые запасы которого в регионе учитываются в одном комплексном кобальт-медно-никелевом месторождении Шануч и по состоянию на 01.01.2023 составляют 40,64 тыс. т (недропользователь АО НПК «Геотехнология»). Прогнозные ресурсы никеля оценены по десяти объектам по категории Р</w:t>
      </w:r>
      <w:r>
        <w:rPr>
          <w:rFonts w:eastAsia="Times New Roman" w:cs="Times New Roman" w:ascii="Times New Roman" w:hAnsi="Times New Roman"/>
          <w:sz w:val="28"/>
          <w:szCs w:val="28"/>
          <w:vertAlign w:val="subscript"/>
          <w:lang w:eastAsia="ru-RU"/>
        </w:rPr>
        <w:t>2</w:t>
      </w:r>
      <w:r>
        <w:rPr>
          <w:rFonts w:eastAsia="Times New Roman" w:cs="Times New Roman" w:ascii="Times New Roman" w:hAnsi="Times New Roman"/>
          <w:sz w:val="28"/>
          <w:szCs w:val="28"/>
          <w:lang w:eastAsia="ru-RU"/>
        </w:rPr>
        <w:t xml:space="preserve"> в количестве 805 тыс. т (протокол ЦНИГРИ от 20.12.2011 № 7).</w:t>
      </w:r>
    </w:p>
    <w:p>
      <w:pPr>
        <w:pStyle w:val="Normal"/>
        <w:widowControl w:val="false"/>
        <w:spacing w:before="0" w:after="0"/>
        <w:ind w:firstLine="709"/>
        <w:jc w:val="both"/>
        <w:rPr/>
      </w:pPr>
      <w:r>
        <w:rPr>
          <w:rFonts w:eastAsia="Times New Roman" w:cs="Times New Roman" w:ascii="Times New Roman" w:hAnsi="Times New Roman"/>
          <w:sz w:val="28"/>
          <w:szCs w:val="28"/>
          <w:lang w:eastAsia="ru-RU"/>
        </w:rPr>
        <w:t xml:space="preserve">В 2023 году добыча кобальт-медно-никелевого рудоконцентрата не планируется в связи с проведением на месторождении Шануч горно-подготовительных работ и процедурой согласования проектной документации. До 2025 года на месторождении Шануч планируется строительство флотационной обогатительной </w:t>
      </w:r>
      <w:r>
        <w:rPr>
          <w:rFonts w:cs="Times New Roman" w:ascii="Times New Roman" w:hAnsi="Times New Roman"/>
          <w:spacing w:val="-2"/>
          <w:sz w:val="28"/>
          <w:szCs w:val="28"/>
        </w:rPr>
        <w:t>фабрики для более глубокой переработки никелевой руды.</w:t>
      </w:r>
    </w:p>
    <w:p>
      <w:pPr>
        <w:pStyle w:val="Normal"/>
        <w:widowControl w:val="false"/>
        <w:spacing w:lineRule="auto" w:line="240" w:before="120" w:after="120"/>
        <w:ind w:firstLine="709"/>
        <w:jc w:val="both"/>
        <w:rPr>
          <w:rFonts w:ascii="Times New Roman" w:hAnsi="Times New Roman" w:cs="Times New Roman"/>
          <w:b/>
          <w:b/>
          <w:sz w:val="28"/>
          <w:szCs w:val="28"/>
        </w:rPr>
      </w:pPr>
      <w:r>
        <w:rPr>
          <w:rFonts w:cs="Times New Roman" w:ascii="Times New Roman" w:hAnsi="Times New Roman"/>
          <w:b/>
          <w:sz w:val="28"/>
          <w:szCs w:val="28"/>
        </w:rPr>
        <w:t>Природный газ, газовый конденсат</w:t>
      </w:r>
    </w:p>
    <w:p>
      <w:pPr>
        <w:pStyle w:val="Normal"/>
        <w:widowControl w:val="false"/>
        <w:spacing w:lineRule="auto" w:line="252" w:before="0" w:after="0"/>
        <w:ind w:firstLine="709"/>
        <w:jc w:val="both"/>
        <w:rPr>
          <w:rFonts w:ascii="Times New Roman" w:hAnsi="Times New Roman" w:cs="Times New Roman"/>
          <w:kern w:val="2"/>
          <w:sz w:val="28"/>
          <w:szCs w:val="28"/>
        </w:rPr>
      </w:pPr>
      <w:r>
        <w:rPr>
          <w:rFonts w:cs="Times New Roman" w:ascii="Times New Roman" w:hAnsi="Times New Roman"/>
          <w:sz w:val="28"/>
          <w:szCs w:val="28"/>
        </w:rPr>
        <w:t xml:space="preserve">Территориальным балансом запасов полезных ископаемых </w:t>
      </w:r>
      <w:r>
        <w:rPr>
          <w:rFonts w:cs="Times New Roman" w:ascii="Times New Roman" w:hAnsi="Times New Roman"/>
          <w:kern w:val="2"/>
          <w:sz w:val="28"/>
          <w:szCs w:val="28"/>
        </w:rPr>
        <w:t>учтены 4 газоконденсатных месторождения (Кшукское, Нижне-Квакчикское, Средне-Кунжикское и Северо-Колпаковское) с общими запасами газа в объёме</w:t>
        <w:br/>
        <w:t>5638 млн м</w:t>
      </w:r>
      <w:r>
        <w:rPr>
          <w:rFonts w:cs="Times New Roman" w:ascii="Times New Roman" w:hAnsi="Times New Roman"/>
          <w:kern w:val="2"/>
          <w:sz w:val="28"/>
          <w:szCs w:val="28"/>
          <w:vertAlign w:val="superscript"/>
        </w:rPr>
        <w:t>3</w:t>
      </w:r>
      <w:r>
        <w:rPr>
          <w:rFonts w:cs="Times New Roman" w:ascii="Times New Roman" w:hAnsi="Times New Roman"/>
          <w:kern w:val="2"/>
          <w:sz w:val="28"/>
          <w:szCs w:val="28"/>
        </w:rPr>
        <w:t>. Все газоконденсатные месторождения, кроме северного фланга Северо-Колпаковского месторождения, числятся в распределённом фонде недр, владельцем лицензий является ООО «Газпром добыча Ноябрьск».</w:t>
      </w:r>
    </w:p>
    <w:p>
      <w:pPr>
        <w:pStyle w:val="Normal"/>
        <w:widowControl w:val="false"/>
        <w:spacing w:lineRule="auto" w:line="252" w:before="0" w:after="0"/>
        <w:ind w:firstLine="709"/>
        <w:jc w:val="both"/>
        <w:rPr>
          <w:rFonts w:ascii="Times New Roman" w:hAnsi="Times New Roman" w:cs="Times New Roman"/>
          <w:sz w:val="28"/>
          <w:szCs w:val="28"/>
        </w:rPr>
      </w:pPr>
      <w:r>
        <w:rPr>
          <w:rFonts w:cs="Times New Roman" w:ascii="Times New Roman" w:hAnsi="Times New Roman"/>
          <w:sz w:val="28"/>
          <w:szCs w:val="28"/>
        </w:rPr>
        <w:t>За 9 мес. 2023 года предприятием добыто 150,9 млн м</w:t>
      </w:r>
      <w:r>
        <w:rPr>
          <w:rFonts w:cs="Times New Roman" w:ascii="Times New Roman" w:hAnsi="Times New Roman"/>
          <w:sz w:val="28"/>
          <w:szCs w:val="28"/>
          <w:vertAlign w:val="superscript"/>
        </w:rPr>
        <w:t>3</w:t>
      </w:r>
      <w:r>
        <w:rPr>
          <w:rFonts w:cs="Times New Roman" w:ascii="Times New Roman" w:hAnsi="Times New Roman"/>
          <w:sz w:val="28"/>
          <w:szCs w:val="28"/>
        </w:rPr>
        <w:t xml:space="preserve"> газа и 5,8 тыс. т газового конденсата, что составляет соответственно 84,8% и 87,6% от уровня добычи за аналогичный период 2022 года. Снижение уровня добычи связано с естественным падением пластового давления в газотранспортной сети и переходом в стадию падающей добычи. Постепенное увеличение объемов добычи природного газа начнётся с момента ввода 2, 3 этапов дожимной компрессорной станции Нижне-Квакчинского месторождения (2024 год). </w:t>
      </w:r>
    </w:p>
    <w:p>
      <w:pPr>
        <w:pStyle w:val="Normal"/>
        <w:widowControl w:val="false"/>
        <w:spacing w:lineRule="auto" w:line="240" w:before="120" w:after="120"/>
        <w:ind w:firstLine="709"/>
        <w:jc w:val="both"/>
        <w:rPr>
          <w:rFonts w:ascii="Times New Roman" w:hAnsi="Times New Roman" w:cs="Times New Roman"/>
          <w:b/>
          <w:b/>
          <w:sz w:val="28"/>
          <w:szCs w:val="28"/>
        </w:rPr>
      </w:pPr>
      <w:r>
        <w:rPr>
          <w:rFonts w:cs="Times New Roman" w:ascii="Times New Roman" w:hAnsi="Times New Roman"/>
          <w:b/>
          <w:sz w:val="28"/>
          <w:szCs w:val="28"/>
        </w:rPr>
        <w:t>Уголь</w:t>
      </w:r>
    </w:p>
    <w:p>
      <w:pPr>
        <w:pStyle w:val="Normal"/>
        <w:widowControl w:val="false"/>
        <w:spacing w:lineRule="auto" w:line="252"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Твердое топливо в Камчатском крае представлено месторождениями каменных и бурых углей. Территориальным балансом запасов полезных ископаемых учитывается 7 месторождений угля </w:t>
      </w:r>
      <w:r>
        <w:rPr>
          <w:rFonts w:cs="Times New Roman" w:ascii="Times New Roman" w:hAnsi="Times New Roman"/>
          <w:sz w:val="28"/>
          <w:szCs w:val="28"/>
          <w:lang w:eastAsia="ru-RU"/>
        </w:rPr>
        <w:t>(3 – бурого, 4 – каменного) с балансовыми запасами в количестве 274,9 млн т. Забалансовые запасы оцениваются в 136,6 млн т. Основной объём запасов приходится на каменные угли – 260,8 млн т (94,9 % от всех разведанных балансовых запасов). Запасы бурого угля составляют 14,1 млн т (5,1%).</w:t>
      </w:r>
      <w:r>
        <w:rPr>
          <w:rFonts w:cs="Times New Roman" w:ascii="Times New Roman" w:hAnsi="Times New Roman"/>
          <w:sz w:val="28"/>
          <w:szCs w:val="28"/>
        </w:rPr>
        <w:t xml:space="preserve"> Прогнозные ресурсы углей, апробированные ЦНИГРИ по состоянию на 01.01.2022, составляют 4591 млн т.</w:t>
      </w:r>
    </w:p>
    <w:p>
      <w:pPr>
        <w:pStyle w:val="Normal"/>
        <w:widowControl w:val="false"/>
        <w:spacing w:lineRule="auto" w:line="252"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В распределенном фонде недр учитывается одно буроугольное месторождение Паланское (недропользователь – ООО «Палана Уголь»). За 9 мес. 2023 года добыто 11,9 тыс. т бурого угля, что соответствует уровню добычи за аналогичный период прошлого года. </w:t>
      </w:r>
    </w:p>
    <w:p>
      <w:pPr>
        <w:pStyle w:val="Normal"/>
        <w:widowControl w:val="false"/>
        <w:spacing w:lineRule="auto" w:line="240" w:before="120" w:after="120"/>
        <w:ind w:firstLine="709"/>
        <w:jc w:val="both"/>
        <w:rPr>
          <w:rFonts w:ascii="Times New Roman" w:hAnsi="Times New Roman" w:cs="Times New Roman"/>
          <w:b/>
          <w:b/>
          <w:sz w:val="28"/>
          <w:szCs w:val="28"/>
        </w:rPr>
      </w:pPr>
      <w:r>
        <w:rPr>
          <w:rFonts w:cs="Times New Roman" w:ascii="Times New Roman" w:hAnsi="Times New Roman"/>
          <w:b/>
          <w:sz w:val="28"/>
          <w:szCs w:val="28"/>
        </w:rPr>
        <w:t>Теплоэнергетические воды</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Территориальным балансом запасов полезных ископаемых Камчатского края по состоянию на 01.01.2023 учтены 15 месторождений теплоэнергетических подземных вод с эксплуатационными запасами термальной воды по категориям А+В+С</w:t>
      </w:r>
      <w:r>
        <w:rPr>
          <w:rFonts w:cs="Times New Roman" w:ascii="Times New Roman" w:hAnsi="Times New Roman"/>
          <w:sz w:val="28"/>
          <w:szCs w:val="28"/>
          <w:vertAlign w:val="subscript"/>
        </w:rPr>
        <w:t>1</w:t>
      </w:r>
      <w:r>
        <w:rPr>
          <w:rFonts w:cs="Times New Roman" w:ascii="Times New Roman" w:hAnsi="Times New Roman"/>
          <w:sz w:val="28"/>
          <w:szCs w:val="28"/>
        </w:rPr>
        <w:t xml:space="preserve"> – 80,253 тыс. м</w:t>
      </w:r>
      <w:r>
        <w:rPr>
          <w:rFonts w:cs="Times New Roman" w:ascii="Times New Roman" w:hAnsi="Times New Roman"/>
          <w:sz w:val="28"/>
          <w:szCs w:val="28"/>
          <w:vertAlign w:val="superscript"/>
        </w:rPr>
        <w:t>3</w:t>
      </w:r>
      <w:r>
        <w:rPr>
          <w:rFonts w:cs="Times New Roman" w:ascii="Times New Roman" w:hAnsi="Times New Roman"/>
          <w:sz w:val="28"/>
          <w:szCs w:val="28"/>
        </w:rPr>
        <w:t>/сут, С</w:t>
      </w:r>
      <w:r>
        <w:rPr>
          <w:rFonts w:cs="Times New Roman" w:ascii="Times New Roman" w:hAnsi="Times New Roman"/>
          <w:sz w:val="28"/>
          <w:szCs w:val="28"/>
          <w:vertAlign w:val="subscript"/>
        </w:rPr>
        <w:t>2</w:t>
      </w:r>
      <w:r>
        <w:rPr>
          <w:rFonts w:cs="Times New Roman" w:ascii="Times New Roman" w:hAnsi="Times New Roman"/>
          <w:sz w:val="28"/>
          <w:szCs w:val="28"/>
        </w:rPr>
        <w:t xml:space="preserve"> – 3,83 тыс.м</w:t>
      </w:r>
      <w:r>
        <w:rPr>
          <w:rFonts w:cs="Times New Roman" w:ascii="Times New Roman" w:hAnsi="Times New Roman"/>
          <w:sz w:val="28"/>
          <w:szCs w:val="28"/>
          <w:vertAlign w:val="superscript"/>
        </w:rPr>
        <w:t>3</w:t>
      </w:r>
      <w:r>
        <w:rPr>
          <w:rFonts w:cs="Times New Roman" w:ascii="Times New Roman" w:hAnsi="Times New Roman"/>
          <w:sz w:val="28"/>
          <w:szCs w:val="28"/>
        </w:rPr>
        <w:t>/сут.; пароводяной смеси по категориям А+В+С</w:t>
      </w:r>
      <w:r>
        <w:rPr>
          <w:rFonts w:cs="Times New Roman" w:ascii="Times New Roman" w:hAnsi="Times New Roman"/>
          <w:sz w:val="28"/>
          <w:szCs w:val="28"/>
          <w:vertAlign w:val="subscript"/>
        </w:rPr>
        <w:t>1</w:t>
      </w:r>
      <w:r>
        <w:rPr>
          <w:rFonts w:cs="Times New Roman" w:ascii="Times New Roman" w:hAnsi="Times New Roman"/>
          <w:sz w:val="28"/>
          <w:szCs w:val="28"/>
        </w:rPr>
        <w:t xml:space="preserve"> в количестве 72,98 тыс.т/сут, С</w:t>
      </w:r>
      <w:r>
        <w:rPr>
          <w:rFonts w:cs="Times New Roman" w:ascii="Times New Roman" w:hAnsi="Times New Roman"/>
          <w:sz w:val="28"/>
          <w:szCs w:val="28"/>
          <w:vertAlign w:val="subscript"/>
        </w:rPr>
        <w:t>2</w:t>
      </w:r>
      <w:r>
        <w:rPr>
          <w:rFonts w:cs="Times New Roman" w:ascii="Times New Roman" w:hAnsi="Times New Roman"/>
          <w:sz w:val="28"/>
          <w:szCs w:val="28"/>
        </w:rPr>
        <w:t xml:space="preserve"> – 45,46 тыс.т/сут. Забалансовые запасы пароводяной смеси составляют 13,5 тыс. т/сут.</w:t>
      </w:r>
    </w:p>
    <w:p>
      <w:pPr>
        <w:pStyle w:val="Normal"/>
        <w:widowControl w:val="fals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В распределённом фонде находится 97,5% разведанных запасов термальной воды (12 месторождений) и все запасы пароводяной смеси (2 месторождения Мутновское и Паужетское). Месторождения теплоэнергетических подземных вод эксплуатируются 9-ю недропользователями, крупнейшими из которых являются АО «Тепло Земли» и Филиал ПАО «Камчатскэнерго» Возобновляемая энергетика. Объем добычи пароводяной смеси за 9 мес. 2023 года составил 15295,4 тыс. т, термальной воды – 9833,2 тыс. м</w:t>
      </w:r>
      <w:r>
        <w:rPr>
          <w:rFonts w:cs="Times New Roman" w:ascii="Times New Roman" w:hAnsi="Times New Roman"/>
          <w:sz w:val="28"/>
          <w:szCs w:val="28"/>
          <w:vertAlign w:val="superscript"/>
        </w:rPr>
        <w:t>3</w:t>
      </w:r>
      <w:r>
        <w:rPr>
          <w:rFonts w:cs="Times New Roman" w:ascii="Times New Roman" w:hAnsi="Times New Roman"/>
          <w:sz w:val="28"/>
          <w:szCs w:val="28"/>
        </w:rPr>
        <w:t>, что составляет соответственно 102% и 66% от уровня добычи за аналогичный период прошлого года.</w:t>
      </w:r>
    </w:p>
    <w:p>
      <w:pPr>
        <w:pStyle w:val="Normal"/>
        <w:widowControl w:val="false"/>
        <w:bidi w:val="0"/>
        <w:spacing w:lineRule="auto" w:line="259" w:before="120" w:after="120"/>
        <w:ind w:left="0" w:right="0" w:firstLine="680"/>
        <w:jc w:val="left"/>
        <w:rPr>
          <w:rFonts w:cs="Times New Roman"/>
          <w:b/>
          <w:b/>
          <w:szCs w:val="28"/>
        </w:rPr>
      </w:pPr>
      <w:r>
        <w:rPr>
          <w:rFonts w:cs="Times New Roman" w:ascii="Times New Roman" w:hAnsi="Times New Roman"/>
          <w:b/>
          <w:sz w:val="28"/>
          <w:szCs w:val="28"/>
        </w:rPr>
        <w:t>Минеральные воды</w:t>
      </w:r>
    </w:p>
    <w:p>
      <w:pPr>
        <w:pStyle w:val="Normal"/>
        <w:widowControl w:val="false"/>
        <w:spacing w:lineRule="auto" w:line="240" w:before="6" w:after="6"/>
        <w:ind w:firstLine="709"/>
        <w:jc w:val="both"/>
        <w:rPr/>
      </w:pPr>
      <w:r>
        <w:rPr>
          <w:rFonts w:cs="Times New Roman" w:ascii="Times New Roman" w:hAnsi="Times New Roman"/>
          <w:sz w:val="28"/>
          <w:szCs w:val="28"/>
        </w:rPr>
        <w:t>Территориальным балансом запасов полезных ископаемых Камчатского края по состоянию на 01.01.2023 учитываются 3 месторождения минеральных вод (Кеткинское, Малкинское, Налычевское) с утвержденными эксплуатационными запасами в количестве 18,949 тыс. м</w:t>
      </w:r>
      <w:r>
        <w:rPr>
          <w:rFonts w:cs="Times New Roman" w:ascii="Times New Roman" w:hAnsi="Times New Roman"/>
          <w:sz w:val="28"/>
          <w:szCs w:val="28"/>
          <w:vertAlign w:val="superscript"/>
        </w:rPr>
        <w:t>3</w:t>
      </w:r>
      <w:r>
        <w:rPr>
          <w:rFonts w:cs="Times New Roman" w:ascii="Times New Roman" w:hAnsi="Times New Roman"/>
          <w:sz w:val="28"/>
          <w:szCs w:val="28"/>
        </w:rPr>
        <w:t xml:space="preserve">/сут. В распределенном фонде числятся запасы Кеткинского и Малкинского месторождений. </w:t>
      </w:r>
    </w:p>
    <w:p>
      <w:pPr>
        <w:pStyle w:val="Normal"/>
        <w:widowControl w:val="false"/>
        <w:spacing w:lineRule="auto" w:line="240" w:before="6" w:after="6"/>
        <w:ind w:firstLine="709"/>
        <w:jc w:val="both"/>
        <w:rPr>
          <w:rFonts w:ascii="Times New Roman" w:hAnsi="Times New Roman" w:cs="Times New Roman"/>
          <w:sz w:val="28"/>
          <w:szCs w:val="28"/>
        </w:rPr>
      </w:pPr>
      <w:r>
        <w:rPr>
          <w:rFonts w:cs="Times New Roman" w:ascii="Times New Roman" w:hAnsi="Times New Roman"/>
          <w:sz w:val="28"/>
          <w:szCs w:val="28"/>
        </w:rPr>
        <w:t xml:space="preserve">Термоминеральные воды Кеткинского месторождения используются в рекреационных целях. На базе запасов Малкинского месторождения осуществляется бутилированние лечебно-столовых вод (ООО «Малкинское», ООО «Кампиво»). </w:t>
      </w:r>
    </w:p>
    <w:p>
      <w:pPr>
        <w:pStyle w:val="Normal"/>
        <w:widowControl w:val="false"/>
        <w:spacing w:lineRule="auto" w:line="240" w:before="6" w:after="6"/>
        <w:ind w:firstLine="709"/>
        <w:jc w:val="both"/>
        <w:rPr/>
      </w:pPr>
      <w:r>
        <w:rPr>
          <w:rFonts w:cs="Times New Roman" w:ascii="Times New Roman" w:hAnsi="Times New Roman"/>
          <w:sz w:val="28"/>
          <w:szCs w:val="28"/>
        </w:rPr>
        <w:t>В отчетный период объём добычи питьевой минеральной воды составил 22,5 тыс. м</w:t>
      </w:r>
      <w:r>
        <w:rPr>
          <w:rFonts w:cs="Times New Roman" w:ascii="Times New Roman" w:hAnsi="Times New Roman"/>
          <w:sz w:val="28"/>
          <w:szCs w:val="28"/>
          <w:vertAlign w:val="superscript"/>
        </w:rPr>
        <w:t>3</w:t>
      </w:r>
      <w:r>
        <w:rPr>
          <w:rFonts w:cs="Times New Roman" w:ascii="Times New Roman" w:hAnsi="Times New Roman"/>
          <w:sz w:val="28"/>
          <w:szCs w:val="28"/>
        </w:rPr>
        <w:t xml:space="preserve"> и 114,8 т попутно извлеченного углекислого газа, что составляет соответственно 98,2% и 85,8% от уровня добычи за 9 мес. 2022 года. </w:t>
      </w:r>
    </w:p>
    <w:p>
      <w:pPr>
        <w:pStyle w:val="Normal"/>
        <w:widowControl w:val="false"/>
        <w:spacing w:lineRule="auto" w:line="240" w:before="120" w:after="120"/>
        <w:ind w:firstLine="709"/>
        <w:jc w:val="both"/>
        <w:rPr>
          <w:rFonts w:ascii="Times New Roman" w:hAnsi="Times New Roman" w:cs="Times New Roman"/>
          <w:b/>
          <w:b/>
          <w:sz w:val="28"/>
          <w:szCs w:val="28"/>
        </w:rPr>
      </w:pPr>
      <w:r>
        <w:rPr>
          <w:rFonts w:cs="Times New Roman" w:ascii="Times New Roman" w:hAnsi="Times New Roman"/>
          <w:b/>
          <w:sz w:val="28"/>
          <w:szCs w:val="28"/>
        </w:rPr>
        <w:t>Общераспространенные полезные ископаемые</w:t>
      </w:r>
    </w:p>
    <w:p>
      <w:pPr>
        <w:pStyle w:val="Normal"/>
        <w:widowControl w:val="false"/>
        <w:tabs>
          <w:tab w:val="clear" w:pos="709"/>
          <w:tab w:val="left" w:pos="1134" w:leader="none"/>
        </w:tabs>
        <w:spacing w:lineRule="auto" w:line="252" w:before="0" w:after="0"/>
        <w:ind w:firstLine="709"/>
        <w:jc w:val="both"/>
        <w:rPr>
          <w:rFonts w:ascii="Times New Roman" w:hAnsi="Times New Roman" w:cs="Times New Roman"/>
          <w:sz w:val="28"/>
          <w:szCs w:val="28"/>
        </w:rPr>
      </w:pPr>
      <w:r>
        <w:rPr>
          <w:rFonts w:cs="Times New Roman" w:ascii="Times New Roman" w:hAnsi="Times New Roman"/>
          <w:sz w:val="28"/>
          <w:szCs w:val="28"/>
        </w:rPr>
        <w:t>Территориальным балансом запасов полезных ископаемых Камчатского края по состоянию на 01.01.2023 учитываются 252 месторождения общераспространенных полезных ископаемых (далее – ОПИ), в том числе: камня для строительства – 17, песчано-гравийного материала – 85, песка строительного – 17, шлака вулканического – 5, туфа вулканического – 1, пемзы – 3, пемзового песка – 3, глины – 8, суглинков – 3, сланца глинистого – 1, известняка – 1, перлитового сырья – 2, торфа – 106.</w:t>
      </w:r>
    </w:p>
    <w:p>
      <w:pPr>
        <w:pStyle w:val="Normal"/>
        <w:widowControl w:val="false"/>
        <w:tabs>
          <w:tab w:val="clear" w:pos="709"/>
          <w:tab w:val="left" w:pos="1134" w:leader="none"/>
        </w:tabs>
        <w:spacing w:lineRule="auto" w:line="252" w:before="0" w:after="0"/>
        <w:ind w:firstLine="709"/>
        <w:jc w:val="both"/>
        <w:rPr>
          <w:rFonts w:ascii="Times New Roman" w:hAnsi="Times New Roman" w:cs="Times New Roman"/>
          <w:sz w:val="28"/>
          <w:szCs w:val="28"/>
        </w:rPr>
      </w:pPr>
      <w:r>
        <w:rPr>
          <w:rFonts w:cs="Times New Roman" w:ascii="Times New Roman" w:hAnsi="Times New Roman"/>
          <w:sz w:val="28"/>
          <w:szCs w:val="28"/>
        </w:rPr>
        <w:t>В государственном реестре участков недр, предоставленных в пользование, и лицензий на пользование участками недр местного значения, содержащими месторождения ОПИ, по состоянию на 01.01.2023 года учитывается 87 лицензий, которыми обладают 43 субъекта хозяйственной деятельности.</w:t>
      </w:r>
    </w:p>
    <w:p>
      <w:pPr>
        <w:pStyle w:val="Normal"/>
        <w:widowControl w:val="false"/>
        <w:tabs>
          <w:tab w:val="clear" w:pos="709"/>
          <w:tab w:val="left" w:pos="1134" w:leader="none"/>
        </w:tabs>
        <w:spacing w:lineRule="auto" w:line="252" w:before="0" w:after="0"/>
        <w:ind w:firstLine="709"/>
        <w:jc w:val="both"/>
        <w:rPr>
          <w:rFonts w:ascii="Times New Roman" w:hAnsi="Times New Roman" w:cs="Times New Roman"/>
          <w:sz w:val="28"/>
          <w:szCs w:val="28"/>
        </w:rPr>
      </w:pPr>
      <w:r>
        <w:rPr>
          <w:rFonts w:cs="Times New Roman" w:ascii="Times New Roman" w:hAnsi="Times New Roman"/>
          <w:sz w:val="28"/>
          <w:szCs w:val="28"/>
        </w:rPr>
        <w:t>Добычу ОПИ в 2023 году осуществляли 15 предприятий. Всего, по предварительным данным, за 9 мес.2023 года добыто порядка 1320 тыс. м</w:t>
      </w:r>
      <w:r>
        <w:rPr>
          <w:rFonts w:cs="Times New Roman" w:ascii="Times New Roman" w:hAnsi="Times New Roman"/>
          <w:sz w:val="28"/>
          <w:szCs w:val="28"/>
          <w:vertAlign w:val="superscript"/>
        </w:rPr>
        <w:t>3</w:t>
      </w:r>
      <w:r>
        <w:rPr>
          <w:rFonts w:cs="Times New Roman" w:ascii="Times New Roman" w:hAnsi="Times New Roman"/>
          <w:sz w:val="28"/>
          <w:szCs w:val="28"/>
        </w:rPr>
        <w:t xml:space="preserve"> ОПИ (камень строительный – 300,0 тыс. м</w:t>
      </w:r>
      <w:r>
        <w:rPr>
          <w:rFonts w:cs="Times New Roman" w:ascii="Times New Roman" w:hAnsi="Times New Roman"/>
          <w:sz w:val="28"/>
          <w:szCs w:val="28"/>
          <w:vertAlign w:val="superscript"/>
        </w:rPr>
        <w:t>3</w:t>
      </w:r>
      <w:r>
        <w:rPr>
          <w:rFonts w:cs="Times New Roman" w:ascii="Times New Roman" w:hAnsi="Times New Roman"/>
          <w:sz w:val="28"/>
          <w:szCs w:val="28"/>
        </w:rPr>
        <w:t>; ПГС – 1000,0 тыс. м</w:t>
      </w:r>
      <w:r>
        <w:rPr>
          <w:rFonts w:cs="Times New Roman" w:ascii="Times New Roman" w:hAnsi="Times New Roman"/>
          <w:sz w:val="28"/>
          <w:szCs w:val="28"/>
          <w:vertAlign w:val="superscript"/>
        </w:rPr>
        <w:t>3</w:t>
      </w:r>
      <w:r>
        <w:rPr>
          <w:rFonts w:cs="Times New Roman" w:ascii="Times New Roman" w:hAnsi="Times New Roman"/>
          <w:sz w:val="28"/>
          <w:szCs w:val="28"/>
        </w:rPr>
        <w:t>; песок строительный – 23,0 тыс. м</w:t>
      </w:r>
      <w:r>
        <w:rPr>
          <w:rFonts w:cs="Times New Roman" w:ascii="Times New Roman" w:hAnsi="Times New Roman"/>
          <w:sz w:val="28"/>
          <w:szCs w:val="28"/>
          <w:vertAlign w:val="superscript"/>
        </w:rPr>
        <w:t>3</w:t>
      </w:r>
      <w:r>
        <w:rPr>
          <w:rFonts w:cs="Times New Roman" w:ascii="Times New Roman" w:hAnsi="Times New Roman"/>
          <w:sz w:val="28"/>
          <w:szCs w:val="28"/>
        </w:rPr>
        <w:t>), что составляет 187,4% от уровня добычи за аналогичный период прошлого года.</w:t>
      </w:r>
    </w:p>
    <w:p>
      <w:pPr>
        <w:pStyle w:val="Normal"/>
        <w:widowControl w:val="false"/>
        <w:spacing w:lineRule="auto" w:line="240" w:before="120" w:after="120"/>
        <w:ind w:firstLine="709"/>
        <w:jc w:val="both"/>
        <w:rPr>
          <w:rFonts w:ascii="Times New Roman" w:hAnsi="Times New Roman" w:cs="Times New Roman"/>
          <w:b/>
          <w:b/>
          <w:sz w:val="28"/>
          <w:szCs w:val="28"/>
        </w:rPr>
      </w:pPr>
      <w:r>
        <w:rPr>
          <w:rFonts w:cs="Times New Roman" w:ascii="Times New Roman" w:hAnsi="Times New Roman"/>
          <w:b/>
          <w:sz w:val="28"/>
          <w:szCs w:val="28"/>
        </w:rPr>
        <w:t>Прогноз развития горнопромышленной отрасли Камчатского края</w:t>
      </w:r>
    </w:p>
    <w:p>
      <w:pPr>
        <w:pStyle w:val="Normal"/>
        <w:spacing w:lineRule="auto" w:line="252" w:before="0" w:after="0"/>
        <w:ind w:firstLine="709"/>
        <w:jc w:val="both"/>
        <w:rPr>
          <w:rFonts w:ascii="Times New Roman" w:hAnsi="Times New Roman" w:cs="Times New Roman"/>
          <w:sz w:val="28"/>
          <w:szCs w:val="28"/>
        </w:rPr>
      </w:pPr>
      <w:r>
        <w:rPr>
          <w:rFonts w:eastAsia="Calibri" w:cs="Times New Roman" w:ascii="Times New Roman" w:hAnsi="Times New Roman" w:eastAsiaTheme="minorHAnsi"/>
          <w:sz w:val="28"/>
          <w:szCs w:val="28"/>
        </w:rPr>
        <w:t xml:space="preserve">Стратегической целью развития горнодобывающей промышленности Камчатского края является обеспечение ускоренного развития отрасли, как фактора инфраструктурного развития и диверсификации экономики региона. </w:t>
        <w:br/>
      </w:r>
      <w:r>
        <w:rPr>
          <w:rFonts w:cs="Times New Roman" w:ascii="Times New Roman" w:hAnsi="Times New Roman"/>
          <w:sz w:val="28"/>
          <w:szCs w:val="28"/>
        </w:rPr>
        <w:t xml:space="preserve">В соответствии с прогнозом социально-экономического развития Камчатского края на 2023 год и на плановый период 2024 и 2025 годов индекс производства по виду экономической деятельности «Добыча полезных ископаемых» оценивается на уровне 92,2 %, что обусловлено снижением объема добычи драгоценных металлов по причине вовлечения в разработку запасов с меньшими содержаниями металлов в руде, временным прекращением работ по добыче платины на техногенной россыпи ручья Ледяной и приостановкой добычных работ на Шанучском комплексном медно-никелевом месторождении. </w:t>
      </w:r>
    </w:p>
    <w:p>
      <w:pPr>
        <w:pStyle w:val="Normal"/>
        <w:spacing w:lineRule="auto" w:line="252"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Основные перспективы развития отрасли добычи и производства драгоценных металлов в Камчатском крае связаны с: </w:t>
      </w:r>
    </w:p>
    <w:p>
      <w:pPr>
        <w:pStyle w:val="Normal"/>
        <w:numPr>
          <w:ilvl w:val="0"/>
          <w:numId w:val="2"/>
        </w:numPr>
        <w:tabs>
          <w:tab w:val="clear" w:pos="709"/>
          <w:tab w:val="left" w:pos="1185" w:leader="none"/>
        </w:tabs>
        <w:spacing w:lineRule="auto" w:line="252" w:before="0" w:after="0"/>
        <w:ind w:firstLine="709"/>
        <w:jc w:val="both"/>
        <w:rPr>
          <w:rFonts w:ascii="Times New Roman" w:hAnsi="Times New Roman" w:cs="Times New Roman"/>
          <w:sz w:val="28"/>
          <w:szCs w:val="28"/>
        </w:rPr>
      </w:pPr>
      <w:r>
        <w:rPr>
          <w:rFonts w:cs="Times New Roman" w:ascii="Times New Roman" w:hAnsi="Times New Roman"/>
          <w:sz w:val="28"/>
          <w:szCs w:val="28"/>
        </w:rPr>
        <w:t xml:space="preserve">вводом в эксплуатацию второй очереди горно-металлургического комбината (ГМК) на Озерновском золоторудном месторождении производительностью до 610 тыс. т в год, срок ввода в эксплуатацию 2026 год (инвестор АО «СиГМА»); </w:t>
      </w:r>
    </w:p>
    <w:p>
      <w:pPr>
        <w:pStyle w:val="Normal"/>
        <w:numPr>
          <w:ilvl w:val="0"/>
          <w:numId w:val="2"/>
        </w:numPr>
        <w:tabs>
          <w:tab w:val="clear" w:pos="709"/>
          <w:tab w:val="left" w:pos="1185" w:leader="none"/>
        </w:tabs>
        <w:spacing w:lineRule="auto" w:line="252" w:before="0" w:after="0"/>
        <w:ind w:firstLine="709"/>
        <w:jc w:val="both"/>
        <w:rPr/>
      </w:pPr>
      <w:r>
        <w:rPr>
          <w:rFonts w:cs="Times New Roman" w:ascii="Times New Roman" w:hAnsi="Times New Roman"/>
          <w:sz w:val="28"/>
          <w:szCs w:val="28"/>
        </w:rPr>
        <w:t>строительством горно-обогатительного предприятия на месторождении Кумроч планируемой производительностью до 500 тыс. т руды в год, срок ввода в эксплуатацию 2026 год  (инвестор АО «Быстринская горная компания»)</w:t>
      </w:r>
      <w:r>
        <w:rPr>
          <w:rFonts w:cs="Times New Roman" w:ascii="Times New Roman" w:hAnsi="Times New Roman"/>
          <w:sz w:val="28"/>
          <w:szCs w:val="28"/>
          <w:lang w:val="en-US"/>
        </w:rPr>
        <w:t>;</w:t>
      </w:r>
    </w:p>
    <w:p>
      <w:pPr>
        <w:pStyle w:val="Normal"/>
        <w:numPr>
          <w:ilvl w:val="0"/>
          <w:numId w:val="2"/>
        </w:numPr>
        <w:tabs>
          <w:tab w:val="clear" w:pos="709"/>
          <w:tab w:val="left" w:pos="1185" w:leader="none"/>
        </w:tabs>
        <w:spacing w:lineRule="auto" w:line="252" w:before="0" w:after="0"/>
        <w:ind w:firstLine="709"/>
        <w:jc w:val="both"/>
        <w:rPr/>
      </w:pPr>
      <w:r>
        <w:rPr>
          <w:rFonts w:cs="Times New Roman" w:ascii="Times New Roman" w:hAnsi="Times New Roman"/>
          <w:sz w:val="28"/>
          <w:szCs w:val="28"/>
        </w:rPr>
        <w:t>строительством</w:t>
      </w:r>
      <w:r>
        <w:rPr>
          <w:rFonts w:ascii="Times New Roman" w:hAnsi="Times New Roman"/>
          <w:sz w:val="28"/>
          <w:szCs w:val="28"/>
        </w:rPr>
        <w:t xml:space="preserve"> флотационной обогатительной фабрики для более глубокой переработки никелевой руды на месторождении Шануч (2025 г.).</w:t>
      </w:r>
    </w:p>
    <w:p>
      <w:pPr>
        <w:pStyle w:val="Normal"/>
        <w:spacing w:lineRule="auto" w:line="276" w:before="0" w:after="0"/>
        <w:ind w:firstLine="709"/>
        <w:jc w:val="both"/>
        <w:rPr>
          <w:rFonts w:ascii="Times New Roman" w:hAnsi="Times New Roman"/>
          <w:sz w:val="28"/>
          <w:szCs w:val="28"/>
        </w:rPr>
      </w:pPr>
      <w:bookmarkStart w:id="0" w:name="__DdeLink__34790_2593720581"/>
      <w:r>
        <w:rPr>
          <w:rFonts w:cs="Times New Roman" w:ascii="Times New Roman" w:hAnsi="Times New Roman"/>
          <w:sz w:val="28"/>
          <w:szCs w:val="28"/>
          <w:lang w:val="en-US"/>
        </w:rPr>
        <w:t>Также предусмотрена разведка перспективных золоторудных объектов в пределах Малетойваямского рудного поля. Ожидается, что добыча золота в Камчатском крае к 2030 году возрастёт до 10,0 т.</w:t>
      </w:r>
      <w:bookmarkEnd w:id="0"/>
    </w:p>
    <w:p>
      <w:pPr>
        <w:pStyle w:val="Normal"/>
        <w:tabs>
          <w:tab w:val="clear" w:pos="709"/>
          <w:tab w:val="left" w:pos="1185" w:leader="none"/>
        </w:tabs>
        <w:spacing w:lineRule="auto" w:line="252" w:before="0" w:after="0"/>
        <w:ind w:firstLine="709"/>
        <w:jc w:val="both"/>
        <w:rPr>
          <w:rFonts w:ascii="Times New Roman" w:hAnsi="Times New Roman" w:cs="Times New Roman"/>
          <w:sz w:val="28"/>
          <w:szCs w:val="28"/>
        </w:rPr>
      </w:pPr>
      <w:r>
        <w:rPr>
          <w:rFonts w:cs="Times New Roman" w:ascii="Times New Roman" w:hAnsi="Times New Roman"/>
          <w:sz w:val="28"/>
          <w:szCs w:val="28"/>
        </w:rPr>
        <w:t>Кроме того, перспективы развития горного комплекса края также связаны с вовлечением в промышленное освоение углеводородного сырья Западной Камчатки, бальнеологических ресурсов, теплоэнергетических подземных вод и нерудных строительных материалов.</w:t>
      </w:r>
    </w:p>
    <w:p>
      <w:pPr>
        <w:pStyle w:val="Normal"/>
        <w:tabs>
          <w:tab w:val="clear" w:pos="709"/>
          <w:tab w:val="left" w:pos="1185" w:leader="none"/>
        </w:tabs>
        <w:spacing w:lineRule="auto" w:line="252" w:before="0" w:after="0"/>
        <w:ind w:firstLine="709"/>
        <w:jc w:val="both"/>
        <w:rPr>
          <w:rFonts w:ascii="Times New Roman" w:hAnsi="Times New Roman" w:cs="Times New Roman"/>
          <w:bCs/>
          <w:sz w:val="28"/>
          <w:szCs w:val="28"/>
        </w:rPr>
      </w:pPr>
      <w:r>
        <w:rPr>
          <w:rFonts w:cs="Times New Roman" w:ascii="Times New Roman" w:hAnsi="Times New Roman"/>
          <w:bCs/>
          <w:sz w:val="28"/>
          <w:szCs w:val="28"/>
        </w:rPr>
        <w:t>Для успешной реализации проектов строительного комплекса в Камчатском крае (строительство Камчатской краевой больницы, туристского комплекса «Парк «Три вулкана», нового пассажирского терминала и иных объектов аэропортового комплекса международного аэропорта Петропавловск-Камчатский (Елизово) и др.) продолжается активная работа по опережающему развитию промышленности строительных материалов за счет ведения в эксплуатацию месторождений общераспространенных полезных ископаемых, расположенных в транспортной доступности к объектам строительства.</w:t>
      </w:r>
    </w:p>
    <w:p>
      <w:pPr>
        <w:pStyle w:val="Normal"/>
        <w:widowControl w:val="false"/>
        <w:spacing w:before="120" w:after="120"/>
        <w:jc w:val="center"/>
        <w:rPr>
          <w:rFonts w:ascii="Times New Roman" w:hAnsi="Times New Roman" w:cs="Times New Roman"/>
          <w:b/>
          <w:b/>
          <w:sz w:val="28"/>
          <w:szCs w:val="28"/>
        </w:rPr>
      </w:pPr>
      <w:r>
        <w:rPr>
          <w:rFonts w:cs="Times New Roman" w:ascii="Times New Roman" w:hAnsi="Times New Roman"/>
          <w:b/>
          <w:sz w:val="28"/>
          <w:szCs w:val="28"/>
        </w:rPr>
      </w:r>
    </w:p>
    <w:p>
      <w:pPr>
        <w:pStyle w:val="Normal"/>
        <w:widowControl w:val="false"/>
        <w:spacing w:before="120" w:after="120"/>
        <w:jc w:val="center"/>
        <w:rPr>
          <w:rFonts w:ascii="Times New Roman" w:hAnsi="Times New Roman" w:cs="Times New Roman"/>
          <w:b/>
          <w:b/>
          <w:sz w:val="28"/>
          <w:szCs w:val="28"/>
        </w:rPr>
      </w:pPr>
      <w:r>
        <w:rPr>
          <w:rFonts w:cs="Times New Roman" w:ascii="Times New Roman" w:hAnsi="Times New Roman"/>
          <w:b/>
          <w:sz w:val="28"/>
          <w:szCs w:val="28"/>
        </w:rPr>
        <w:t>Текущие проблемные вопросы развития отрасли, предлагаемые меры решения:</w:t>
      </w:r>
    </w:p>
    <w:tbl>
      <w:tblPr>
        <w:tblW w:w="9918" w:type="dxa"/>
        <w:jc w:val="left"/>
        <w:tblInd w:w="113" w:type="dxa"/>
        <w:tblLayout w:type="fixed"/>
        <w:tblCellMar>
          <w:top w:w="0" w:type="dxa"/>
          <w:left w:w="108" w:type="dxa"/>
          <w:bottom w:w="0" w:type="dxa"/>
          <w:right w:w="108" w:type="dxa"/>
        </w:tblCellMar>
        <w:tblLook w:noVBand="1" w:val="04a0" w:noHBand="0" w:lastColumn="0" w:firstColumn="1" w:lastRow="0" w:firstRow="1"/>
      </w:tblPr>
      <w:tblGrid>
        <w:gridCol w:w="5097"/>
        <w:gridCol w:w="4820"/>
      </w:tblGrid>
      <w:tr>
        <w:trPr>
          <w:trHeight w:val="736" w:hRule="atLeast"/>
        </w:trPr>
        <w:tc>
          <w:tcPr>
            <w:tcW w:w="509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jc w:val="center"/>
              <w:rPr>
                <w:rFonts w:ascii="Times New Roman" w:hAnsi="Times New Roman" w:cs="Times New Roman"/>
                <w:b/>
                <w:b/>
                <w:color w:val="000000"/>
                <w:sz w:val="26"/>
                <w:szCs w:val="26"/>
              </w:rPr>
            </w:pPr>
            <w:r>
              <w:rPr>
                <w:rFonts w:cs="Times New Roman" w:ascii="Times New Roman" w:hAnsi="Times New Roman"/>
                <w:b/>
                <w:color w:val="000000"/>
                <w:sz w:val="26"/>
                <w:szCs w:val="26"/>
              </w:rPr>
              <w:t>Выявленные проблемы отрасли</w:t>
            </w:r>
          </w:p>
        </w:tc>
        <w:tc>
          <w:tcPr>
            <w:tcW w:w="4820"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jc w:val="center"/>
              <w:rPr>
                <w:rFonts w:ascii="Times New Roman" w:hAnsi="Times New Roman" w:cs="Times New Roman"/>
                <w:b/>
                <w:b/>
                <w:color w:val="000000"/>
                <w:sz w:val="26"/>
                <w:szCs w:val="26"/>
              </w:rPr>
            </w:pPr>
            <w:r>
              <w:rPr>
                <w:rFonts w:cs="Times New Roman" w:ascii="Times New Roman" w:hAnsi="Times New Roman"/>
                <w:b/>
                <w:color w:val="000000"/>
                <w:sz w:val="26"/>
                <w:szCs w:val="26"/>
              </w:rPr>
              <w:t>Предлагаемые пути решения</w:t>
            </w:r>
          </w:p>
        </w:tc>
      </w:tr>
      <w:tr>
        <w:trPr>
          <w:trHeight w:val="551" w:hRule="atLeast"/>
        </w:trPr>
        <w:tc>
          <w:tcPr>
            <w:tcW w:w="509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rFonts w:ascii="Times New Roman" w:hAnsi="Times New Roman" w:cs="Times New Roman"/>
                <w:b/>
                <w:b/>
                <w:i/>
                <w:i/>
                <w:color w:val="000000"/>
                <w:sz w:val="26"/>
                <w:szCs w:val="26"/>
              </w:rPr>
            </w:pPr>
            <w:r>
              <w:rPr>
                <w:rFonts w:cs="Times New Roman" w:ascii="Times New Roman" w:hAnsi="Times New Roman"/>
                <w:b/>
                <w:i/>
                <w:color w:val="000000"/>
                <w:sz w:val="26"/>
                <w:szCs w:val="26"/>
              </w:rPr>
              <w:t>Недостаточная степень геологической изученности объектов недропользования, передаваемых в распределённый фонд недр</w:t>
            </w:r>
          </w:p>
          <w:p>
            <w:pPr>
              <w:pStyle w:val="Normal"/>
              <w:widowControl w:val="false"/>
              <w:tabs>
                <w:tab w:val="clear" w:pos="709"/>
                <w:tab w:val="left" w:pos="1134" w:leader="none"/>
              </w:tabs>
              <w:spacing w:lineRule="auto" w:line="240" w:before="0" w:after="0"/>
              <w:jc w:val="both"/>
              <w:rPr>
                <w:b w:val="false"/>
                <w:b w:val="false"/>
                <w:bCs w:val="false"/>
                <w:i w:val="false"/>
                <w:i w:val="false"/>
                <w:iCs w:val="false"/>
              </w:rPr>
            </w:pPr>
            <w:r>
              <w:rPr>
                <w:rFonts w:cs="Times New Roman" w:ascii="Times New Roman" w:hAnsi="Times New Roman"/>
                <w:b w:val="false"/>
                <w:bCs w:val="false"/>
                <w:i w:val="false"/>
                <w:iCs w:val="false"/>
                <w:color w:val="000000"/>
                <w:spacing w:val="-7"/>
                <w:sz w:val="26"/>
                <w:szCs w:val="26"/>
              </w:rPr>
              <w:t>Эффективное развитие горнопромышлен-ного комплекса на долгосрочную перспективу возможно только при условии планомерного наращивания запасов и ресурсов полезных ископаемых в Камчатском крае – регионе с низкой степенью геологической изученности.</w:t>
            </w:r>
          </w:p>
        </w:tc>
        <w:tc>
          <w:tcPr>
            <w:tcW w:w="48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9"/>
                <w:tab w:val="left" w:pos="1134" w:leader="none"/>
              </w:tabs>
              <w:spacing w:lineRule="auto" w:line="228" w:before="0" w:after="160"/>
              <w:jc w:val="both"/>
              <w:rPr>
                <w:rFonts w:ascii="Times New Roman" w:hAnsi="Times New Roman" w:cs="Times New Roman"/>
                <w:color w:val="000000"/>
                <w:spacing w:val="-7"/>
                <w:sz w:val="26"/>
                <w:szCs w:val="26"/>
              </w:rPr>
            </w:pPr>
            <w:r>
              <w:rPr>
                <w:rFonts w:cs="Times New Roman" w:ascii="Times New Roman" w:hAnsi="Times New Roman"/>
                <w:color w:val="000000"/>
                <w:spacing w:val="-7"/>
                <w:sz w:val="26"/>
                <w:szCs w:val="26"/>
              </w:rPr>
              <w:t>Необходимо предусмотреть финансирование геологоразведочных работ за счет средств федерального бюджета на проведение комплексной геолого-экономической оценки минерально-сырьевых ресурсов северной части Камчатского края (Пенжинский и Олюторский районы) и разработку программы её геологического изучения на перспективу до 2030 года</w:t>
            </w:r>
          </w:p>
        </w:tc>
      </w:tr>
      <w:tr>
        <w:trPr>
          <w:trHeight w:val="2370" w:hRule="atLeast"/>
        </w:trPr>
        <w:tc>
          <w:tcPr>
            <w:tcW w:w="509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rFonts w:ascii="Times New Roman" w:hAnsi="Times New Roman" w:cs="Times New Roman"/>
                <w:b/>
                <w:b/>
                <w:i/>
                <w:i/>
                <w:spacing w:val="-7"/>
                <w:sz w:val="26"/>
                <w:szCs w:val="26"/>
              </w:rPr>
            </w:pPr>
            <w:r>
              <w:rPr>
                <w:rFonts w:cs="Times New Roman" w:ascii="Times New Roman" w:hAnsi="Times New Roman"/>
                <w:b/>
                <w:i/>
                <w:spacing w:val="-7"/>
                <w:sz w:val="26"/>
                <w:szCs w:val="26"/>
              </w:rPr>
              <w:t>Невозможность выполнения работ по геологическому изучению, разведке и добыче полезных ископаемых на участках леса, отнесенным к особо защитным участкам леса (Рослесхоз).</w:t>
            </w:r>
          </w:p>
          <w:p>
            <w:pPr>
              <w:pStyle w:val="Normal"/>
              <w:widowControl w:val="false"/>
              <w:spacing w:lineRule="auto" w:line="240" w:before="0" w:after="0"/>
              <w:jc w:val="both"/>
              <w:rPr>
                <w:rFonts w:ascii="Times New Roman" w:hAnsi="Times New Roman" w:cs="Times New Roman"/>
                <w:spacing w:val="-7"/>
                <w:sz w:val="26"/>
                <w:szCs w:val="26"/>
              </w:rPr>
            </w:pPr>
            <w:r>
              <w:rPr>
                <w:rFonts w:cs="Times New Roman" w:ascii="Times New Roman" w:hAnsi="Times New Roman"/>
                <w:spacing w:val="-7"/>
                <w:sz w:val="26"/>
                <w:szCs w:val="26"/>
              </w:rPr>
              <w:t xml:space="preserve">Большая часть месторождений и перспективных участков недр на севере Камчатского края расположены на участках, покрытых непроходимыми зарослями ольхового и кедрового стланика, которые, согласно материалам лесоустройства  отнесены к резервным лесам, в том числе, к особо защитным участкам леса (далее – ОЗУ). </w:t>
            </w:r>
            <w:r>
              <w:rPr>
                <w:rFonts w:cs="TimesNewRomanPSMT" w:ascii="TimesNewRomanPSMT" w:hAnsi="TimesNewRomanPSMT"/>
                <w:spacing w:val="-7"/>
                <w:sz w:val="26"/>
                <w:szCs w:val="26"/>
              </w:rPr>
              <w:t>В соответствии с распоряжением Правительства РФ от 23.04.2022 № 999-р «Об утверждении Перечня некапитальных строений, сооружений, не связанных с созданием лесной инфраструктуры, для защитных лесов, эксплуатационных лесов, резервных лесов» в данной категории лесов не допускается размещение объектов, не связанных с созданием лесной инфраструктуры, что не позволяет пользователям недр вовлекать в отработку новые месторождения в пределах предоставленной им лицензионной площади и в целом негативно влияет на перспективы развития отрасли.</w:t>
            </w:r>
          </w:p>
        </w:tc>
        <w:tc>
          <w:tcPr>
            <w:tcW w:w="48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rFonts w:ascii="TimesNewRomanPS-BoldMT" w:hAnsi="TimesNewRomanPS-BoldMT" w:cs="TimesNewRomanPS-BoldMT"/>
                <w:b/>
                <w:b/>
                <w:bCs/>
                <w:sz w:val="26"/>
                <w:szCs w:val="26"/>
              </w:rPr>
            </w:pPr>
            <w:r>
              <w:rPr>
                <w:rFonts w:cs="Times New Roman" w:ascii="Times New Roman" w:hAnsi="Times New Roman"/>
                <w:color w:val="000000"/>
                <w:sz w:val="26"/>
                <w:szCs w:val="26"/>
              </w:rPr>
              <w:t xml:space="preserve">Внесение изменений в действующее лесное законодательство в части обеспечения возможности выполнения работ в границах лицензионной площади независимо от целевого назначения лесов и наличия ОЗУ согласно проектной документации, прошедшей экспертизу, предусмотренную </w:t>
            </w:r>
            <w:hyperlink r:id="rId2">
              <w:r>
                <w:rPr>
                  <w:rFonts w:cs="Times New Roman" w:ascii="Times New Roman" w:hAnsi="Times New Roman"/>
                  <w:color w:val="000000"/>
                  <w:sz w:val="26"/>
                  <w:szCs w:val="26"/>
                </w:rPr>
                <w:t>статьей 36.1</w:t>
              </w:r>
            </w:hyperlink>
            <w:r>
              <w:rPr>
                <w:rFonts w:cs="Times New Roman" w:ascii="Times New Roman" w:hAnsi="Times New Roman"/>
                <w:color w:val="000000"/>
                <w:sz w:val="26"/>
                <w:szCs w:val="26"/>
              </w:rPr>
              <w:t xml:space="preserve"> Закона Российской Федерации «О недрах».</w:t>
            </w:r>
          </w:p>
        </w:tc>
      </w:tr>
      <w:tr>
        <w:trPr>
          <w:trHeight w:val="2370" w:hRule="atLeast"/>
        </w:trPr>
        <w:tc>
          <w:tcPr>
            <w:tcW w:w="509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rFonts w:ascii="Times New Roman" w:hAnsi="Times New Roman" w:cs="Times New Roman"/>
                <w:b/>
                <w:b/>
                <w:i/>
                <w:i/>
                <w:sz w:val="26"/>
                <w:szCs w:val="26"/>
              </w:rPr>
            </w:pPr>
            <w:r>
              <w:rPr>
                <w:rFonts w:cs="Times New Roman" w:ascii="Times New Roman" w:hAnsi="Times New Roman"/>
                <w:b/>
                <w:i/>
                <w:sz w:val="26"/>
                <w:szCs w:val="26"/>
              </w:rPr>
              <w:t>Увеличение рентного коэффициента КРЕНТА в отношении платины и цветных металлов до 3,5.</w:t>
            </w:r>
          </w:p>
          <w:p>
            <w:pPr>
              <w:pStyle w:val="Normal"/>
              <w:widowControl w:val="false"/>
              <w:spacing w:lineRule="auto" w:line="240" w:before="0" w:after="0"/>
              <w:jc w:val="both"/>
              <w:rPr>
                <w:rFonts w:ascii="Times New Roman" w:hAnsi="Times New Roman" w:cs="Times New Roman"/>
                <w:sz w:val="26"/>
                <w:szCs w:val="26"/>
              </w:rPr>
            </w:pPr>
            <w:r>
              <w:rPr>
                <w:rFonts w:cs="Times New Roman" w:ascii="Times New Roman" w:hAnsi="Times New Roman"/>
                <w:sz w:val="26"/>
                <w:szCs w:val="26"/>
              </w:rPr>
              <w:t xml:space="preserve">В соответствии с положениями статьи 342 Налогового кодекса РФ с 01.01.2021 налогообложение по налогу на добычу </w:t>
            </w:r>
            <w:r>
              <w:rPr>
                <w:rFonts w:cs="Times New Roman" w:ascii="Times New Roman" w:hAnsi="Times New Roman"/>
                <w:b w:val="false"/>
                <w:bCs w:val="false"/>
                <w:i w:val="false"/>
                <w:iCs w:val="false"/>
                <w:sz w:val="26"/>
                <w:szCs w:val="26"/>
              </w:rPr>
              <w:t>платины и цветных металлов</w:t>
            </w:r>
            <w:r>
              <w:rPr>
                <w:rFonts w:cs="Times New Roman" w:ascii="Times New Roman" w:hAnsi="Times New Roman"/>
                <w:sz w:val="26"/>
                <w:szCs w:val="26"/>
              </w:rPr>
              <w:t xml:space="preserve"> производится по налоговой ставке с учетом рентного коэффициента (КРЕНТА) равным 3,5. Увеличение  КРЕНТА до 3,5 отрицательно сказывается на рентабельности реализации проектов, связанных с добычей платины и никелевой руды на территории Камчатского края, и является одной из причин, препятствующих принятию положитель-ного решения потенциальными инвесторами по разведке и разработке новых месторождений.</w:t>
            </w:r>
          </w:p>
        </w:tc>
        <w:tc>
          <w:tcPr>
            <w:tcW w:w="482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jc w:val="both"/>
              <w:rPr>
                <w:rFonts w:ascii="Times New Roman" w:hAnsi="Times New Roman" w:cs="Times New Roman"/>
                <w:sz w:val="26"/>
                <w:szCs w:val="26"/>
              </w:rPr>
            </w:pPr>
            <w:r>
              <w:rPr>
                <w:rFonts w:cs="Times New Roman" w:ascii="Times New Roman" w:hAnsi="Times New Roman"/>
                <w:sz w:val="26"/>
                <w:szCs w:val="26"/>
              </w:rPr>
              <w:t>Рассмотрение возможности внесения изменений в статью 342 Налогового кодекса Российской Федерации  в части уменьшения рентного коэффициента (КРЕНТА) к ставке налога на добычу полезных ископаемых (в отношении платины и цветных металлов, добываемых на территории Камчатского края) с коэффициента 3,5 до 1,0</w:t>
            </w:r>
          </w:p>
        </w:tc>
      </w:tr>
      <w:tr>
        <w:trPr>
          <w:trHeight w:val="2370" w:hRule="atLeast"/>
        </w:trPr>
        <w:tc>
          <w:tcPr>
            <w:tcW w:w="5097" w:type="dxa"/>
            <w:tcBorders>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left="0" w:right="0" w:hanging="0"/>
              <w:jc w:val="both"/>
              <w:rPr>
                <w:rFonts w:ascii="Times New Roman" w:hAnsi="Times New Roman"/>
                <w:sz w:val="26"/>
              </w:rPr>
            </w:pPr>
            <w:r>
              <w:rPr>
                <w:rFonts w:ascii="Times New Roman" w:hAnsi="Times New Roman"/>
                <w:spacing w:val="0"/>
                <w:kern w:val="0"/>
                <w:sz w:val="26"/>
                <w:szCs w:val="20"/>
              </w:rPr>
              <w:t>Федеральным законом от 29.12.2020 № 480-ФЗ «О внесении изменений в Федеральный закон «Об электро-энергетике» выравнивания тарифов в ДФО до базовых (среднероссийских) уровней) продлено до 1 января 2028 года, при этом предусмотрено совершенствование механизма надбавки.</w:t>
            </w:r>
          </w:p>
          <w:p>
            <w:pPr>
              <w:pStyle w:val="Normal"/>
              <w:widowControl w:val="false"/>
              <w:spacing w:lineRule="auto" w:line="240" w:before="0" w:after="0"/>
              <w:ind w:left="0" w:right="0" w:hanging="0"/>
              <w:jc w:val="both"/>
              <w:rPr>
                <w:rFonts w:ascii="Times New Roman" w:hAnsi="Times New Roman"/>
                <w:sz w:val="26"/>
              </w:rPr>
            </w:pPr>
            <w:r>
              <w:rPr>
                <w:rFonts w:ascii="Times New Roman" w:hAnsi="Times New Roman"/>
                <w:sz w:val="26"/>
              </w:rPr>
            </w:r>
          </w:p>
        </w:tc>
        <w:tc>
          <w:tcPr>
            <w:tcW w:w="4820" w:type="dxa"/>
            <w:tcBorders>
              <w:left w:val="single" w:sz="4" w:space="0" w:color="000000"/>
              <w:bottom w:val="single" w:sz="4" w:space="0" w:color="000000"/>
              <w:right w:val="single" w:sz="4" w:space="0" w:color="000000"/>
            </w:tcBorders>
            <w:shd w:color="auto" w:fill="auto" w:val="clear"/>
          </w:tcPr>
          <w:p>
            <w:pPr>
              <w:pStyle w:val="Normal"/>
              <w:widowControl w:val="false"/>
              <w:spacing w:lineRule="auto" w:line="240" w:before="0" w:after="0"/>
              <w:ind w:left="0" w:right="0" w:hanging="0"/>
              <w:jc w:val="both"/>
              <w:rPr>
                <w:rFonts w:ascii="Times New Roman" w:hAnsi="Times New Roman"/>
                <w:sz w:val="26"/>
              </w:rPr>
            </w:pPr>
            <w:r>
              <w:rPr>
                <w:rFonts w:ascii="Times New Roman" w:hAnsi="Times New Roman"/>
                <w:i w:val="false"/>
                <w:spacing w:val="0"/>
                <w:kern w:val="0"/>
                <w:sz w:val="26"/>
                <w:szCs w:val="20"/>
              </w:rPr>
              <w:t>На фоне антироссийских санкций, учитывая, что реализация проектов в сфере минерально-сырьевого комплекса требует</w:t>
            </w:r>
            <w:r>
              <w:rPr>
                <w:rFonts w:ascii="Times New Roman" w:hAnsi="Times New Roman"/>
                <w:spacing w:val="0"/>
                <w:kern w:val="0"/>
                <w:sz w:val="26"/>
                <w:szCs w:val="20"/>
              </w:rPr>
              <w:t xml:space="preserve"> значительных капиталовложений, в том числе обусловленных необходимостью создания объектов инфраструктуры, сохранение механизма выравнивания цен (тарифов) на электрическую энергию до среднероссийского уровня для отрасли драгоценных металлов является важной мерой, направленной на повышение устойчивости экономики Камчатского края,</w:t>
            </w:r>
          </w:p>
        </w:tc>
      </w:tr>
    </w:tbl>
    <w:p>
      <w:pPr>
        <w:pStyle w:val="Normal"/>
        <w:widowControl w:val="false"/>
        <w:shd w:val="clear" w:color="auto" w:fill="FFFFFF"/>
        <w:tabs>
          <w:tab w:val="clear" w:pos="709"/>
          <w:tab w:val="left" w:pos="341" w:leader="none"/>
          <w:tab w:val="left" w:pos="851" w:leader="none"/>
          <w:tab w:val="left" w:pos="993" w:leader="none"/>
        </w:tabs>
        <w:spacing w:before="0" w:after="0"/>
        <w:jc w:val="center"/>
        <w:rPr>
          <w:rFonts w:ascii="Times New Roman" w:hAnsi="Times New Roman" w:cs="Times New Roman"/>
          <w:bCs/>
          <w:sz w:val="28"/>
          <w:szCs w:val="28"/>
        </w:rPr>
      </w:pPr>
      <w:r>
        <w:rPr>
          <w:rFonts w:cs="Times New Roman" w:ascii="Times New Roman" w:hAnsi="Times New Roman"/>
          <w:bCs/>
          <w:sz w:val="28"/>
          <w:szCs w:val="28"/>
        </w:rPr>
      </w:r>
    </w:p>
    <w:p>
      <w:pPr>
        <w:pStyle w:val="Normal"/>
        <w:widowControl w:val="false"/>
        <w:shd w:val="clear" w:color="auto" w:fill="FFFFFF"/>
        <w:tabs>
          <w:tab w:val="clear" w:pos="709"/>
          <w:tab w:val="left" w:pos="341" w:leader="none"/>
          <w:tab w:val="left" w:pos="851" w:leader="none"/>
          <w:tab w:val="left" w:pos="993" w:leader="none"/>
        </w:tabs>
        <w:spacing w:before="0" w:after="0"/>
        <w:jc w:val="center"/>
        <w:rPr>
          <w:rFonts w:ascii="Times New Roman" w:hAnsi="Times New Roman" w:cs="Times New Roman"/>
          <w:bCs/>
          <w:sz w:val="28"/>
          <w:szCs w:val="28"/>
        </w:rPr>
      </w:pPr>
      <w:r>
        <w:rPr>
          <w:rFonts w:cs="Times New Roman" w:ascii="Times New Roman" w:hAnsi="Times New Roman"/>
          <w:bCs/>
          <w:sz w:val="28"/>
          <w:szCs w:val="28"/>
        </w:rPr>
      </w:r>
    </w:p>
    <w:p>
      <w:pPr>
        <w:pStyle w:val="Normal"/>
        <w:widowControl w:val="false"/>
        <w:shd w:val="clear" w:color="auto" w:fill="FFFFFF"/>
        <w:tabs>
          <w:tab w:val="clear" w:pos="709"/>
          <w:tab w:val="left" w:pos="341" w:leader="none"/>
          <w:tab w:val="left" w:pos="851" w:leader="none"/>
          <w:tab w:val="left" w:pos="993" w:leader="none"/>
        </w:tabs>
        <w:spacing w:before="0" w:after="0"/>
        <w:jc w:val="center"/>
        <w:rPr>
          <w:rFonts w:ascii="Times New Roman" w:hAnsi="Times New Roman" w:cs="Times New Roman"/>
          <w:bCs/>
          <w:sz w:val="28"/>
          <w:szCs w:val="28"/>
        </w:rPr>
      </w:pPr>
      <w:r>
        <w:rPr>
          <w:rFonts w:cs="Times New Roman" w:ascii="Times New Roman" w:hAnsi="Times New Roman"/>
          <w:bCs/>
          <w:sz w:val="28"/>
          <w:szCs w:val="28"/>
        </w:rPr>
      </w:r>
    </w:p>
    <w:p>
      <w:pPr>
        <w:pStyle w:val="Normal"/>
        <w:widowControl w:val="false"/>
        <w:shd w:val="clear" w:color="auto" w:fill="FFFFFF"/>
        <w:tabs>
          <w:tab w:val="clear" w:pos="709"/>
          <w:tab w:val="left" w:pos="341" w:leader="none"/>
          <w:tab w:val="left" w:pos="851" w:leader="none"/>
          <w:tab w:val="left" w:pos="993" w:leader="none"/>
        </w:tabs>
        <w:spacing w:before="0" w:after="0"/>
        <w:jc w:val="center"/>
        <w:rPr>
          <w:b/>
          <w:b/>
          <w:bCs/>
        </w:rPr>
      </w:pPr>
      <w:r>
        <w:rPr>
          <w:b/>
          <w:bCs/>
        </w:rPr>
      </w:r>
      <w:r>
        <w:br w:type="page"/>
      </w:r>
    </w:p>
    <w:p>
      <w:pPr>
        <w:pStyle w:val="Normal"/>
        <w:widowControl w:val="false"/>
        <w:shd w:val="clear" w:color="auto" w:fill="FFFFFF"/>
        <w:tabs>
          <w:tab w:val="clear" w:pos="709"/>
          <w:tab w:val="left" w:pos="341" w:leader="none"/>
          <w:tab w:val="left" w:pos="851" w:leader="none"/>
          <w:tab w:val="left" w:pos="993" w:leader="none"/>
        </w:tabs>
        <w:spacing w:before="0" w:after="0"/>
        <w:jc w:val="center"/>
        <w:rPr>
          <w:b/>
          <w:b/>
          <w:bCs/>
        </w:rPr>
      </w:pPr>
      <w:bookmarkStart w:id="1" w:name="_GoBack"/>
      <w:bookmarkEnd w:id="1"/>
      <w:r>
        <w:rPr>
          <w:rFonts w:cs="Times New Roman" w:ascii="Times New Roman" w:hAnsi="Times New Roman"/>
          <w:b/>
          <w:bCs/>
          <w:sz w:val="28"/>
          <w:szCs w:val="28"/>
        </w:rPr>
        <w:t xml:space="preserve">Добыча минеральных и энергетических ресурсов Камчатского края </w:t>
      </w:r>
    </w:p>
    <w:p>
      <w:pPr>
        <w:pStyle w:val="Normal"/>
        <w:widowControl w:val="false"/>
        <w:shd w:val="clear" w:color="auto" w:fill="FFFFFF"/>
        <w:tabs>
          <w:tab w:val="clear" w:pos="709"/>
          <w:tab w:val="left" w:pos="341" w:leader="none"/>
          <w:tab w:val="left" w:pos="851" w:leader="none"/>
          <w:tab w:val="left" w:pos="993" w:leader="none"/>
        </w:tabs>
        <w:spacing w:before="0" w:after="46"/>
        <w:jc w:val="center"/>
        <w:rPr>
          <w:b/>
          <w:b/>
          <w:bCs/>
        </w:rPr>
      </w:pPr>
      <w:r>
        <w:rPr>
          <w:rFonts w:cs="Times New Roman" w:ascii="Times New Roman" w:hAnsi="Times New Roman"/>
          <w:b/>
          <w:bCs/>
          <w:sz w:val="28"/>
          <w:szCs w:val="28"/>
        </w:rPr>
        <w:t>за 9 мес. 2023 года</w:t>
      </w:r>
    </w:p>
    <w:p>
      <w:pPr>
        <w:pStyle w:val="Normal"/>
        <w:widowControl w:val="false"/>
        <w:shd w:val="clear" w:color="auto" w:fill="FFFFFF"/>
        <w:tabs>
          <w:tab w:val="clear" w:pos="709"/>
          <w:tab w:val="left" w:pos="341" w:leader="none"/>
          <w:tab w:val="left" w:pos="851" w:leader="none"/>
          <w:tab w:val="left" w:pos="993" w:leader="none"/>
        </w:tabs>
        <w:ind w:firstLine="709"/>
        <w:jc w:val="right"/>
        <w:rPr>
          <w:rFonts w:ascii="Times New Roman" w:hAnsi="Times New Roman" w:cs="Times New Roman"/>
        </w:rPr>
      </w:pPr>
      <w:r>
        <w:rPr>
          <w:rFonts w:cs="Times New Roman" w:ascii="Times New Roman" w:hAnsi="Times New Roman"/>
        </w:rPr>
      </w:r>
      <w:bookmarkStart w:id="2" w:name="_Toc156729156"/>
      <w:bookmarkStart w:id="3" w:name="_Toc156729156"/>
      <w:bookmarkEnd w:id="3"/>
    </w:p>
    <w:tbl>
      <w:tblPr>
        <w:tblW w:w="9390" w:type="dxa"/>
        <w:jc w:val="left"/>
        <w:tblInd w:w="221" w:type="dxa"/>
        <w:tblLayout w:type="fixed"/>
        <w:tblCellMar>
          <w:top w:w="0" w:type="dxa"/>
          <w:left w:w="108" w:type="dxa"/>
          <w:bottom w:w="0" w:type="dxa"/>
          <w:right w:w="108" w:type="dxa"/>
        </w:tblCellMar>
        <w:tblLook w:noVBand="1" w:val="04a0" w:noHBand="0" w:lastColumn="0" w:firstColumn="1" w:lastRow="0" w:firstRow="1"/>
      </w:tblPr>
      <w:tblGrid>
        <w:gridCol w:w="566"/>
        <w:gridCol w:w="3109"/>
        <w:gridCol w:w="1245"/>
        <w:gridCol w:w="1545"/>
        <w:gridCol w:w="1500"/>
        <w:gridCol w:w="1424"/>
      </w:tblGrid>
      <w:tr>
        <w:trPr>
          <w:trHeight w:val="20" w:hRule="atLeast"/>
        </w:trPr>
        <w:tc>
          <w:tcPr>
            <w:tcW w:w="566" w:type="dxa"/>
            <w:tcBorders>
              <w:top w:val="single" w:sz="4" w:space="0" w:color="000000"/>
              <w:left w:val="single" w:sz="4" w:space="0" w:color="000000"/>
              <w:bottom w:val="single" w:sz="4" w:space="0" w:color="000000"/>
              <w:right w:val="single" w:sz="4" w:space="0" w:color="000000"/>
            </w:tcBorders>
            <w:shd w:color="000000" w:fill="D9D9D9" w:val="clear"/>
            <w:vAlign w:val="center"/>
          </w:tcPr>
          <w:p>
            <w:pPr>
              <w:pStyle w:val="Normal"/>
              <w:widowControl w:val="false"/>
              <w:spacing w:before="0" w:after="160"/>
              <w:jc w:val="center"/>
              <w:rPr>
                <w:rFonts w:ascii="Times New Roman" w:hAnsi="Times New Roman" w:cs="Times New Roman"/>
                <w:b/>
                <w:b/>
                <w:bCs/>
              </w:rPr>
            </w:pPr>
            <w:r>
              <w:rPr>
                <w:rFonts w:cs="Times New Roman" w:ascii="Times New Roman" w:hAnsi="Times New Roman"/>
                <w:b/>
                <w:bCs/>
              </w:rPr>
              <w:t>№</w:t>
            </w:r>
          </w:p>
        </w:tc>
        <w:tc>
          <w:tcPr>
            <w:tcW w:w="3109" w:type="dxa"/>
            <w:tcBorders>
              <w:top w:val="single" w:sz="4" w:space="0" w:color="000000"/>
              <w:bottom w:val="single" w:sz="4" w:space="0" w:color="000000"/>
              <w:right w:val="single" w:sz="4" w:space="0" w:color="000000"/>
            </w:tcBorders>
            <w:shd w:color="000000" w:fill="D9D9D9" w:val="clear"/>
            <w:vAlign w:val="center"/>
          </w:tcPr>
          <w:p>
            <w:pPr>
              <w:pStyle w:val="Normal"/>
              <w:widowControl w:val="false"/>
              <w:spacing w:before="0" w:after="160"/>
              <w:jc w:val="center"/>
              <w:rPr>
                <w:rFonts w:ascii="Times New Roman" w:hAnsi="Times New Roman" w:cs="Times New Roman"/>
                <w:b/>
                <w:b/>
                <w:bCs/>
                <w:color w:val="000000"/>
              </w:rPr>
            </w:pPr>
            <w:r>
              <w:rPr>
                <w:rFonts w:cs="Times New Roman" w:ascii="Times New Roman" w:hAnsi="Times New Roman"/>
                <w:b/>
                <w:bCs/>
                <w:color w:val="000000"/>
              </w:rPr>
              <w:t>Наименование показателей</w:t>
            </w:r>
          </w:p>
        </w:tc>
        <w:tc>
          <w:tcPr>
            <w:tcW w:w="1245" w:type="dxa"/>
            <w:tcBorders>
              <w:top w:val="single" w:sz="4" w:space="0" w:color="000000"/>
              <w:bottom w:val="single" w:sz="4" w:space="0" w:color="000000"/>
              <w:right w:val="single" w:sz="4" w:space="0" w:color="000000"/>
            </w:tcBorders>
            <w:shd w:color="000000" w:fill="D9D9D9" w:val="clear"/>
            <w:vAlign w:val="center"/>
          </w:tcPr>
          <w:p>
            <w:pPr>
              <w:pStyle w:val="Normal"/>
              <w:widowControl w:val="false"/>
              <w:spacing w:before="0" w:after="160"/>
              <w:jc w:val="center"/>
              <w:rPr>
                <w:rFonts w:ascii="Times New Roman" w:hAnsi="Times New Roman" w:cs="Times New Roman"/>
                <w:b/>
                <w:b/>
                <w:bCs/>
                <w:color w:val="000000"/>
              </w:rPr>
            </w:pPr>
            <w:r>
              <w:rPr>
                <w:rFonts w:cs="Times New Roman" w:ascii="Times New Roman" w:hAnsi="Times New Roman"/>
                <w:b/>
                <w:bCs/>
                <w:color w:val="000000"/>
              </w:rPr>
              <w:t>Единица изм.</w:t>
            </w:r>
          </w:p>
        </w:tc>
        <w:tc>
          <w:tcPr>
            <w:tcW w:w="1545" w:type="dxa"/>
            <w:tcBorders>
              <w:top w:val="single" w:sz="4" w:space="0" w:color="000000"/>
              <w:bottom w:val="single" w:sz="4" w:space="0" w:color="000000"/>
              <w:right w:val="single" w:sz="4" w:space="0" w:color="000000"/>
            </w:tcBorders>
            <w:shd w:color="000000" w:fill="D9D9D9" w:val="clear"/>
            <w:vAlign w:val="center"/>
          </w:tcPr>
          <w:p>
            <w:pPr>
              <w:pStyle w:val="Normal"/>
              <w:widowControl w:val="false"/>
              <w:spacing w:before="0" w:after="0"/>
              <w:jc w:val="center"/>
              <w:rPr>
                <w:rFonts w:ascii="Times New Roman" w:hAnsi="Times New Roman" w:cs="Times New Roman"/>
                <w:b/>
                <w:b/>
                <w:bCs/>
              </w:rPr>
            </w:pPr>
            <w:r>
              <w:rPr>
                <w:rFonts w:cs="Times New Roman" w:ascii="Times New Roman" w:hAnsi="Times New Roman"/>
                <w:b/>
                <w:bCs/>
              </w:rPr>
              <w:t>9 мес.</w:t>
            </w:r>
          </w:p>
          <w:p>
            <w:pPr>
              <w:pStyle w:val="Normal"/>
              <w:widowControl w:val="false"/>
              <w:spacing w:before="0" w:after="0"/>
              <w:jc w:val="center"/>
              <w:rPr>
                <w:rFonts w:ascii="Times New Roman" w:hAnsi="Times New Roman" w:cs="Times New Roman"/>
                <w:b/>
                <w:b/>
                <w:bCs/>
              </w:rPr>
            </w:pPr>
            <w:r>
              <w:rPr>
                <w:rFonts w:cs="Times New Roman" w:ascii="Times New Roman" w:hAnsi="Times New Roman"/>
                <w:b/>
                <w:bCs/>
              </w:rPr>
              <w:t>2022 год</w:t>
            </w:r>
          </w:p>
        </w:tc>
        <w:tc>
          <w:tcPr>
            <w:tcW w:w="1500" w:type="dxa"/>
            <w:tcBorders>
              <w:top w:val="single" w:sz="4" w:space="0" w:color="000000"/>
              <w:bottom w:val="single" w:sz="4" w:space="0" w:color="000000"/>
              <w:right w:val="single" w:sz="4" w:space="0" w:color="000000"/>
            </w:tcBorders>
            <w:shd w:color="000000" w:fill="D9D9D9" w:val="clear"/>
            <w:vAlign w:val="center"/>
          </w:tcPr>
          <w:p>
            <w:pPr>
              <w:pStyle w:val="Normal"/>
              <w:widowControl w:val="false"/>
              <w:spacing w:before="0" w:after="0"/>
              <w:jc w:val="center"/>
              <w:rPr>
                <w:rFonts w:ascii="Times New Roman" w:hAnsi="Times New Roman" w:cs="Times New Roman"/>
                <w:b/>
                <w:b/>
                <w:bCs/>
              </w:rPr>
            </w:pPr>
            <w:r>
              <w:rPr>
                <w:rFonts w:cs="Times New Roman" w:ascii="Times New Roman" w:hAnsi="Times New Roman"/>
                <w:b/>
                <w:bCs/>
              </w:rPr>
              <w:t>9 мес.</w:t>
            </w:r>
          </w:p>
          <w:p>
            <w:pPr>
              <w:pStyle w:val="Normal"/>
              <w:widowControl w:val="false"/>
              <w:spacing w:before="0" w:after="0"/>
              <w:jc w:val="center"/>
              <w:rPr>
                <w:rFonts w:ascii="Times New Roman" w:hAnsi="Times New Roman" w:cs="Times New Roman"/>
                <w:b/>
                <w:b/>
                <w:bCs/>
              </w:rPr>
            </w:pPr>
            <w:r>
              <w:rPr>
                <w:rFonts w:cs="Times New Roman" w:ascii="Times New Roman" w:hAnsi="Times New Roman"/>
                <w:b/>
                <w:bCs/>
              </w:rPr>
              <w:t>2023 год</w:t>
            </w:r>
          </w:p>
        </w:tc>
        <w:tc>
          <w:tcPr>
            <w:tcW w:w="1424" w:type="dxa"/>
            <w:tcBorders>
              <w:top w:val="single" w:sz="4" w:space="0" w:color="000000"/>
              <w:bottom w:val="single" w:sz="4" w:space="0" w:color="000000"/>
              <w:right w:val="single" w:sz="4" w:space="0" w:color="000000"/>
            </w:tcBorders>
            <w:shd w:color="000000" w:fill="D9D9D9" w:val="clear"/>
            <w:vAlign w:val="center"/>
          </w:tcPr>
          <w:p>
            <w:pPr>
              <w:pStyle w:val="Normal"/>
              <w:widowControl w:val="false"/>
              <w:spacing w:before="0" w:after="0"/>
              <w:jc w:val="center"/>
              <w:rPr>
                <w:rFonts w:ascii="Times New Roman" w:hAnsi="Times New Roman" w:cs="Times New Roman"/>
                <w:b/>
                <w:b/>
                <w:bCs/>
              </w:rPr>
            </w:pPr>
            <w:r>
              <w:rPr>
                <w:rFonts w:cs="Times New Roman" w:ascii="Times New Roman" w:hAnsi="Times New Roman"/>
                <w:b/>
                <w:bCs/>
              </w:rPr>
              <w:t>в %</w:t>
            </w:r>
          </w:p>
          <w:p>
            <w:pPr>
              <w:pStyle w:val="Normal"/>
              <w:widowControl w:val="false"/>
              <w:spacing w:before="0" w:after="0"/>
              <w:jc w:val="center"/>
              <w:rPr>
                <w:rFonts w:ascii="Times New Roman" w:hAnsi="Times New Roman" w:cs="Times New Roman"/>
                <w:b/>
                <w:b/>
                <w:bCs/>
              </w:rPr>
            </w:pPr>
            <w:r>
              <w:rPr>
                <w:rFonts w:cs="Times New Roman" w:ascii="Times New Roman" w:hAnsi="Times New Roman"/>
                <w:b/>
                <w:bCs/>
              </w:rPr>
              <w:t>к 9 мес. 2022 года</w:t>
            </w:r>
          </w:p>
        </w:tc>
      </w:tr>
      <w:tr>
        <w:trPr>
          <w:trHeight w:val="506" w:hRule="atLeast"/>
        </w:trPr>
        <w:tc>
          <w:tcPr>
            <w:tcW w:w="9389"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0"/>
              <w:jc w:val="center"/>
              <w:rPr>
                <w:rFonts w:ascii="Times New Roman" w:hAnsi="Times New Roman" w:cs="Times New Roman"/>
                <w:color w:val="000000"/>
              </w:rPr>
            </w:pPr>
            <w:r>
              <w:rPr>
                <w:rFonts w:cs="Times New Roman" w:ascii="Times New Roman" w:hAnsi="Times New Roman"/>
                <w:color w:val="000000"/>
              </w:rPr>
              <w:t>Драгоценные металлы</w:t>
            </w:r>
          </w:p>
        </w:tc>
      </w:tr>
      <w:tr>
        <w:trPr>
          <w:trHeight w:val="506" w:hRule="atLeast"/>
        </w:trPr>
        <w:tc>
          <w:tcPr>
            <w:tcW w:w="5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jc w:val="center"/>
              <w:rPr>
                <w:rFonts w:ascii="Times New Roman" w:hAnsi="Times New Roman" w:cs="Times New Roman"/>
              </w:rPr>
            </w:pPr>
            <w:r>
              <w:rPr>
                <w:rFonts w:cs="Times New Roman" w:ascii="Times New Roman" w:hAnsi="Times New Roman"/>
              </w:rPr>
              <w:t>1.</w:t>
            </w:r>
          </w:p>
        </w:tc>
        <w:tc>
          <w:tcPr>
            <w:tcW w:w="3109"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rPr>
                <w:rFonts w:ascii="Times New Roman" w:hAnsi="Times New Roman" w:cs="Times New Roman"/>
                <w:color w:val="000000"/>
              </w:rPr>
            </w:pPr>
            <w:r>
              <w:rPr>
                <w:rFonts w:cs="Times New Roman" w:ascii="Times New Roman" w:hAnsi="Times New Roman"/>
                <w:color w:val="000000"/>
              </w:rPr>
              <w:t>Платина</w:t>
            </w:r>
          </w:p>
        </w:tc>
        <w:tc>
          <w:tcPr>
            <w:tcW w:w="1245"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jc w:val="center"/>
              <w:rPr>
                <w:rFonts w:ascii="Times New Roman" w:hAnsi="Times New Roman" w:cs="Times New Roman"/>
              </w:rPr>
            </w:pPr>
            <w:r>
              <w:rPr>
                <w:rFonts w:cs="Times New Roman" w:ascii="Times New Roman" w:hAnsi="Times New Roman"/>
              </w:rPr>
              <w:t>тонн</w:t>
            </w:r>
          </w:p>
        </w:tc>
        <w:tc>
          <w:tcPr>
            <w:tcW w:w="1545"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0,0</w:t>
            </w:r>
          </w:p>
        </w:tc>
        <w:tc>
          <w:tcPr>
            <w:tcW w:w="1500"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0,00</w:t>
            </w:r>
          </w:p>
        </w:tc>
        <w:tc>
          <w:tcPr>
            <w:tcW w:w="1424"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0,0</w:t>
            </w:r>
          </w:p>
        </w:tc>
      </w:tr>
      <w:tr>
        <w:trPr>
          <w:trHeight w:val="506" w:hRule="atLeast"/>
        </w:trPr>
        <w:tc>
          <w:tcPr>
            <w:tcW w:w="5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jc w:val="center"/>
              <w:rPr>
                <w:rFonts w:ascii="Times New Roman" w:hAnsi="Times New Roman" w:cs="Times New Roman"/>
              </w:rPr>
            </w:pPr>
            <w:r>
              <w:rPr>
                <w:rFonts w:cs="Times New Roman" w:ascii="Times New Roman" w:hAnsi="Times New Roman"/>
              </w:rPr>
              <w:t>2.</w:t>
            </w:r>
          </w:p>
        </w:tc>
        <w:tc>
          <w:tcPr>
            <w:tcW w:w="3109"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rPr>
                <w:rFonts w:ascii="Times New Roman" w:hAnsi="Times New Roman" w:cs="Times New Roman"/>
                <w:color w:val="000000"/>
              </w:rPr>
            </w:pPr>
            <w:r>
              <w:rPr>
                <w:rFonts w:cs="Times New Roman" w:ascii="Times New Roman" w:hAnsi="Times New Roman"/>
                <w:color w:val="000000"/>
              </w:rPr>
              <w:t>Золото, в том числе</w:t>
            </w:r>
          </w:p>
        </w:tc>
        <w:tc>
          <w:tcPr>
            <w:tcW w:w="1245"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jc w:val="center"/>
              <w:rPr>
                <w:rFonts w:ascii="Times New Roman" w:hAnsi="Times New Roman" w:cs="Times New Roman"/>
              </w:rPr>
            </w:pPr>
            <w:r>
              <w:rPr>
                <w:rFonts w:cs="Times New Roman" w:ascii="Times New Roman" w:hAnsi="Times New Roman"/>
              </w:rPr>
              <w:t>тонн</w:t>
            </w:r>
          </w:p>
        </w:tc>
        <w:tc>
          <w:tcPr>
            <w:tcW w:w="1545"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Style32"/>
              <w:widowControl w:val="false"/>
              <w:spacing w:before="0" w:after="160"/>
              <w:jc w:val="center"/>
              <w:rPr>
                <w:rFonts w:ascii="Times New Roman" w:hAnsi="Times New Roman"/>
              </w:rPr>
            </w:pPr>
            <w:r>
              <w:rPr>
                <w:rFonts w:cs="Times New Roman" w:ascii="Times New Roman" w:hAnsi="Times New Roman"/>
              </w:rPr>
              <w:t>4,250</w:t>
            </w:r>
          </w:p>
        </w:tc>
        <w:tc>
          <w:tcPr>
            <w:tcW w:w="1500"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Style32"/>
              <w:widowControl w:val="false"/>
              <w:spacing w:before="0" w:after="160"/>
              <w:jc w:val="center"/>
              <w:rPr>
                <w:rFonts w:ascii="Times New Roman" w:hAnsi="Times New Roman"/>
              </w:rPr>
            </w:pPr>
            <w:r>
              <w:rPr>
                <w:rFonts w:cs="Times New Roman" w:ascii="Times New Roman" w:hAnsi="Times New Roman"/>
              </w:rPr>
              <w:t>6,253</w:t>
            </w:r>
          </w:p>
        </w:tc>
        <w:tc>
          <w:tcPr>
            <w:tcW w:w="1424"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Style32"/>
              <w:widowControl w:val="false"/>
              <w:spacing w:before="0" w:after="160"/>
              <w:jc w:val="center"/>
              <w:rPr>
                <w:rFonts w:ascii="Times New Roman" w:hAnsi="Times New Roman"/>
              </w:rPr>
            </w:pPr>
            <w:r>
              <w:rPr>
                <w:rFonts w:ascii="Times New Roman" w:hAnsi="Times New Roman"/>
              </w:rPr>
              <w:t>147,1</w:t>
            </w:r>
          </w:p>
        </w:tc>
      </w:tr>
      <w:tr>
        <w:trPr>
          <w:trHeight w:val="506" w:hRule="atLeast"/>
        </w:trPr>
        <w:tc>
          <w:tcPr>
            <w:tcW w:w="5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jc w:val="center"/>
              <w:rPr>
                <w:rFonts w:ascii="Times New Roman" w:hAnsi="Times New Roman" w:cs="Times New Roman"/>
              </w:rPr>
            </w:pPr>
            <w:r>
              <w:rPr>
                <w:rFonts w:cs="Times New Roman" w:ascii="Times New Roman" w:hAnsi="Times New Roman"/>
              </w:rPr>
              <w:t>2.1.</w:t>
            </w:r>
          </w:p>
        </w:tc>
        <w:tc>
          <w:tcPr>
            <w:tcW w:w="3109"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rPr>
                <w:rFonts w:ascii="Times New Roman" w:hAnsi="Times New Roman" w:cs="Times New Roman"/>
              </w:rPr>
            </w:pPr>
            <w:r>
              <w:rPr>
                <w:rFonts w:cs="Times New Roman" w:ascii="Times New Roman" w:hAnsi="Times New Roman"/>
              </w:rPr>
              <w:t>коренное</w:t>
            </w:r>
          </w:p>
        </w:tc>
        <w:tc>
          <w:tcPr>
            <w:tcW w:w="1245"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jc w:val="center"/>
              <w:rPr>
                <w:rFonts w:ascii="Times New Roman" w:hAnsi="Times New Roman" w:cs="Times New Roman"/>
              </w:rPr>
            </w:pPr>
            <w:r>
              <w:rPr>
                <w:rFonts w:cs="Times New Roman" w:ascii="Times New Roman" w:hAnsi="Times New Roman"/>
              </w:rPr>
              <w:t>тонн</w:t>
            </w:r>
          </w:p>
        </w:tc>
        <w:tc>
          <w:tcPr>
            <w:tcW w:w="1545"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Style32"/>
              <w:widowControl w:val="false"/>
              <w:spacing w:before="0" w:after="160"/>
              <w:jc w:val="center"/>
              <w:rPr>
                <w:rFonts w:ascii="Times New Roman" w:hAnsi="Times New Roman"/>
              </w:rPr>
            </w:pPr>
            <w:r>
              <w:rPr>
                <w:rFonts w:cs="Times New Roman" w:ascii="Times New Roman" w:hAnsi="Times New Roman"/>
              </w:rPr>
              <w:t>4,250</w:t>
            </w:r>
          </w:p>
        </w:tc>
        <w:tc>
          <w:tcPr>
            <w:tcW w:w="1500"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Style32"/>
              <w:widowControl w:val="false"/>
              <w:spacing w:before="0" w:after="160"/>
              <w:jc w:val="center"/>
              <w:rPr>
                <w:rFonts w:ascii="Times New Roman" w:hAnsi="Times New Roman"/>
              </w:rPr>
            </w:pPr>
            <w:r>
              <w:rPr>
                <w:rFonts w:cs="Times New Roman" w:ascii="Times New Roman" w:hAnsi="Times New Roman"/>
              </w:rPr>
              <w:t>6,217</w:t>
            </w:r>
          </w:p>
        </w:tc>
        <w:tc>
          <w:tcPr>
            <w:tcW w:w="1424"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Style32"/>
              <w:widowControl w:val="false"/>
              <w:spacing w:before="0" w:after="160"/>
              <w:jc w:val="center"/>
              <w:rPr>
                <w:rFonts w:ascii="Times New Roman" w:hAnsi="Times New Roman"/>
              </w:rPr>
            </w:pPr>
            <w:r>
              <w:rPr>
                <w:rFonts w:ascii="Times New Roman" w:hAnsi="Times New Roman"/>
              </w:rPr>
              <w:t>146,3</w:t>
            </w:r>
          </w:p>
        </w:tc>
      </w:tr>
      <w:tr>
        <w:trPr>
          <w:trHeight w:val="506" w:hRule="atLeast"/>
        </w:trPr>
        <w:tc>
          <w:tcPr>
            <w:tcW w:w="5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jc w:val="center"/>
              <w:rPr>
                <w:rFonts w:ascii="Times New Roman" w:hAnsi="Times New Roman" w:cs="Times New Roman"/>
              </w:rPr>
            </w:pPr>
            <w:r>
              <w:rPr>
                <w:rFonts w:cs="Times New Roman" w:ascii="Times New Roman" w:hAnsi="Times New Roman"/>
              </w:rPr>
              <w:t>2.2.</w:t>
            </w:r>
          </w:p>
        </w:tc>
        <w:tc>
          <w:tcPr>
            <w:tcW w:w="3109"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rPr>
                <w:rFonts w:ascii="Times New Roman" w:hAnsi="Times New Roman" w:cs="Times New Roman"/>
              </w:rPr>
            </w:pPr>
            <w:r>
              <w:rPr>
                <w:rFonts w:cs="Times New Roman" w:ascii="Times New Roman" w:hAnsi="Times New Roman"/>
              </w:rPr>
              <w:t>россыпное</w:t>
            </w:r>
          </w:p>
        </w:tc>
        <w:tc>
          <w:tcPr>
            <w:tcW w:w="1245"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jc w:val="center"/>
              <w:rPr>
                <w:rFonts w:ascii="Times New Roman" w:hAnsi="Times New Roman" w:cs="Times New Roman"/>
              </w:rPr>
            </w:pPr>
            <w:r>
              <w:rPr>
                <w:rFonts w:cs="Times New Roman" w:ascii="Times New Roman" w:hAnsi="Times New Roman"/>
              </w:rPr>
              <w:t>тонн</w:t>
            </w:r>
          </w:p>
        </w:tc>
        <w:tc>
          <w:tcPr>
            <w:tcW w:w="1545"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н/д</w:t>
            </w:r>
          </w:p>
        </w:tc>
        <w:tc>
          <w:tcPr>
            <w:tcW w:w="1500"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0,036</w:t>
            </w:r>
          </w:p>
        </w:tc>
        <w:tc>
          <w:tcPr>
            <w:tcW w:w="1424"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w:t>
            </w:r>
          </w:p>
        </w:tc>
      </w:tr>
      <w:tr>
        <w:trPr>
          <w:trHeight w:val="506" w:hRule="atLeast"/>
        </w:trPr>
        <w:tc>
          <w:tcPr>
            <w:tcW w:w="5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jc w:val="center"/>
              <w:rPr>
                <w:rFonts w:ascii="Times New Roman" w:hAnsi="Times New Roman" w:cs="Times New Roman"/>
                <w:color w:val="000000"/>
              </w:rPr>
            </w:pPr>
            <w:r>
              <w:rPr>
                <w:rFonts w:cs="Times New Roman" w:ascii="Times New Roman" w:hAnsi="Times New Roman"/>
                <w:color w:val="000000"/>
              </w:rPr>
              <w:t>3.</w:t>
            </w:r>
          </w:p>
        </w:tc>
        <w:tc>
          <w:tcPr>
            <w:tcW w:w="3109"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rPr>
                <w:rFonts w:ascii="Times New Roman" w:hAnsi="Times New Roman" w:cs="Times New Roman"/>
                <w:color w:val="000000"/>
              </w:rPr>
            </w:pPr>
            <w:r>
              <w:rPr>
                <w:rFonts w:cs="Times New Roman" w:ascii="Times New Roman" w:hAnsi="Times New Roman"/>
                <w:color w:val="000000"/>
              </w:rPr>
              <w:t>Серебро</w:t>
            </w:r>
          </w:p>
        </w:tc>
        <w:tc>
          <w:tcPr>
            <w:tcW w:w="1245"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jc w:val="center"/>
              <w:rPr>
                <w:rFonts w:ascii="Times New Roman" w:hAnsi="Times New Roman" w:cs="Times New Roman"/>
              </w:rPr>
            </w:pPr>
            <w:r>
              <w:rPr>
                <w:rFonts w:cs="Times New Roman" w:ascii="Times New Roman" w:hAnsi="Times New Roman"/>
              </w:rPr>
              <w:t>тонн</w:t>
            </w:r>
          </w:p>
        </w:tc>
        <w:tc>
          <w:tcPr>
            <w:tcW w:w="1545"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Style32"/>
              <w:widowControl w:val="false"/>
              <w:spacing w:before="0" w:after="160"/>
              <w:jc w:val="center"/>
              <w:rPr>
                <w:rFonts w:ascii="Times New Roman" w:hAnsi="Times New Roman"/>
              </w:rPr>
            </w:pPr>
            <w:r>
              <w:rPr>
                <w:rFonts w:ascii="Times New Roman" w:hAnsi="Times New Roman"/>
              </w:rPr>
              <w:t>11,529</w:t>
            </w:r>
          </w:p>
        </w:tc>
        <w:tc>
          <w:tcPr>
            <w:tcW w:w="1500"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Style32"/>
              <w:widowControl w:val="false"/>
              <w:spacing w:before="0" w:after="160"/>
              <w:jc w:val="center"/>
              <w:rPr>
                <w:rFonts w:ascii="Times New Roman" w:hAnsi="Times New Roman"/>
              </w:rPr>
            </w:pPr>
            <w:r>
              <w:rPr>
                <w:rFonts w:ascii="Times New Roman" w:hAnsi="Times New Roman"/>
              </w:rPr>
              <w:t>13,281</w:t>
            </w:r>
          </w:p>
        </w:tc>
        <w:tc>
          <w:tcPr>
            <w:tcW w:w="1424"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Style32"/>
              <w:widowControl w:val="false"/>
              <w:spacing w:before="0" w:after="160"/>
              <w:jc w:val="center"/>
              <w:rPr>
                <w:rFonts w:ascii="Times New Roman" w:hAnsi="Times New Roman"/>
              </w:rPr>
            </w:pPr>
            <w:r>
              <w:rPr>
                <w:rFonts w:ascii="Times New Roman" w:hAnsi="Times New Roman"/>
              </w:rPr>
              <w:t>115,2</w:t>
            </w:r>
          </w:p>
        </w:tc>
      </w:tr>
      <w:tr>
        <w:trPr>
          <w:trHeight w:val="460" w:hRule="atLeast"/>
        </w:trPr>
        <w:tc>
          <w:tcPr>
            <w:tcW w:w="9389" w:type="dxa"/>
            <w:gridSpan w:val="6"/>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color w:val="000000"/>
              </w:rPr>
              <w:t>Топливно-энергетическое сырьё</w:t>
            </w:r>
          </w:p>
        </w:tc>
      </w:tr>
      <w:tr>
        <w:trPr>
          <w:trHeight w:val="460" w:hRule="atLeast"/>
        </w:trPr>
        <w:tc>
          <w:tcPr>
            <w:tcW w:w="5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jc w:val="center"/>
              <w:rPr>
                <w:rFonts w:ascii="Times New Roman" w:hAnsi="Times New Roman" w:cs="Times New Roman"/>
              </w:rPr>
            </w:pPr>
            <w:r>
              <w:rPr>
                <w:rFonts w:cs="Times New Roman" w:ascii="Times New Roman" w:hAnsi="Times New Roman"/>
              </w:rPr>
              <w:t>4.</w:t>
            </w:r>
          </w:p>
        </w:tc>
        <w:tc>
          <w:tcPr>
            <w:tcW w:w="3109"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rPr>
                <w:rFonts w:ascii="Times New Roman" w:hAnsi="Times New Roman" w:cs="Times New Roman"/>
                <w:color w:val="000000"/>
              </w:rPr>
            </w:pPr>
            <w:r>
              <w:rPr>
                <w:rFonts w:cs="Times New Roman" w:ascii="Times New Roman" w:hAnsi="Times New Roman"/>
                <w:color w:val="000000"/>
              </w:rPr>
              <w:t>Газ</w:t>
            </w:r>
          </w:p>
        </w:tc>
        <w:tc>
          <w:tcPr>
            <w:tcW w:w="1245"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jc w:val="center"/>
              <w:rPr>
                <w:rFonts w:ascii="Times New Roman" w:hAnsi="Times New Roman" w:cs="Times New Roman"/>
              </w:rPr>
            </w:pPr>
            <w:r>
              <w:rPr>
                <w:rFonts w:cs="Times New Roman" w:ascii="Times New Roman" w:hAnsi="Times New Roman"/>
              </w:rPr>
              <w:t>млн. м</w:t>
            </w:r>
            <w:r>
              <w:rPr>
                <w:rFonts w:cs="Times New Roman" w:ascii="Times New Roman" w:hAnsi="Times New Roman"/>
                <w:vertAlign w:val="superscript"/>
              </w:rPr>
              <w:t>3</w:t>
            </w:r>
          </w:p>
        </w:tc>
        <w:tc>
          <w:tcPr>
            <w:tcW w:w="1545"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Style32"/>
              <w:widowControl w:val="false"/>
              <w:spacing w:before="0" w:after="160"/>
              <w:jc w:val="center"/>
              <w:rPr>
                <w:rFonts w:ascii="Times New Roman" w:hAnsi="Times New Roman"/>
              </w:rPr>
            </w:pPr>
            <w:r>
              <w:rPr>
                <w:rFonts w:ascii="Times New Roman" w:hAnsi="Times New Roman"/>
              </w:rPr>
              <w:t>178,03</w:t>
            </w:r>
          </w:p>
        </w:tc>
        <w:tc>
          <w:tcPr>
            <w:tcW w:w="1500"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Style32"/>
              <w:widowControl w:val="false"/>
              <w:spacing w:before="0" w:after="160"/>
              <w:jc w:val="center"/>
              <w:rPr>
                <w:rFonts w:ascii="Times New Roman" w:hAnsi="Times New Roman"/>
              </w:rPr>
            </w:pPr>
            <w:r>
              <w:rPr>
                <w:rFonts w:ascii="Times New Roman" w:hAnsi="Times New Roman"/>
              </w:rPr>
              <w:t>150,90</w:t>
            </w:r>
          </w:p>
        </w:tc>
        <w:tc>
          <w:tcPr>
            <w:tcW w:w="1424"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Style32"/>
              <w:widowControl w:val="false"/>
              <w:spacing w:before="0" w:after="160"/>
              <w:jc w:val="center"/>
              <w:rPr>
                <w:rFonts w:ascii="Times New Roman" w:hAnsi="Times New Roman"/>
              </w:rPr>
            </w:pPr>
            <w:r>
              <w:rPr>
                <w:rFonts w:ascii="Times New Roman" w:hAnsi="Times New Roman"/>
              </w:rPr>
              <w:t>84,76</w:t>
            </w:r>
          </w:p>
        </w:tc>
      </w:tr>
      <w:tr>
        <w:trPr>
          <w:trHeight w:val="460" w:hRule="atLeast"/>
        </w:trPr>
        <w:tc>
          <w:tcPr>
            <w:tcW w:w="5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jc w:val="center"/>
              <w:rPr>
                <w:rFonts w:ascii="Times New Roman" w:hAnsi="Times New Roman" w:cs="Times New Roman"/>
              </w:rPr>
            </w:pPr>
            <w:r>
              <w:rPr>
                <w:rFonts w:cs="Times New Roman" w:ascii="Times New Roman" w:hAnsi="Times New Roman"/>
              </w:rPr>
              <w:t>5.</w:t>
            </w:r>
          </w:p>
        </w:tc>
        <w:tc>
          <w:tcPr>
            <w:tcW w:w="3109"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rPr>
                <w:rFonts w:ascii="Times New Roman" w:hAnsi="Times New Roman" w:cs="Times New Roman"/>
                <w:color w:val="000000"/>
              </w:rPr>
            </w:pPr>
            <w:r>
              <w:rPr>
                <w:rFonts w:cs="Times New Roman" w:ascii="Times New Roman" w:hAnsi="Times New Roman"/>
                <w:color w:val="000000"/>
              </w:rPr>
              <w:t>Газовый конденсат</w:t>
            </w:r>
          </w:p>
        </w:tc>
        <w:tc>
          <w:tcPr>
            <w:tcW w:w="1245"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jc w:val="center"/>
              <w:rPr>
                <w:rFonts w:ascii="Times New Roman" w:hAnsi="Times New Roman" w:cs="Times New Roman"/>
              </w:rPr>
            </w:pPr>
            <w:r>
              <w:rPr>
                <w:rFonts w:cs="Times New Roman" w:ascii="Times New Roman" w:hAnsi="Times New Roman"/>
              </w:rPr>
              <w:t>тыс. тонн</w:t>
            </w:r>
          </w:p>
        </w:tc>
        <w:tc>
          <w:tcPr>
            <w:tcW w:w="1545"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Style32"/>
              <w:widowControl w:val="false"/>
              <w:spacing w:before="0" w:after="160"/>
              <w:jc w:val="center"/>
              <w:rPr>
                <w:rFonts w:ascii="Times New Roman" w:hAnsi="Times New Roman"/>
              </w:rPr>
            </w:pPr>
            <w:r>
              <w:rPr>
                <w:rFonts w:ascii="Times New Roman" w:hAnsi="Times New Roman"/>
              </w:rPr>
              <w:t>6,61</w:t>
            </w:r>
          </w:p>
        </w:tc>
        <w:tc>
          <w:tcPr>
            <w:tcW w:w="1500"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8,9</w:t>
            </w:r>
          </w:p>
        </w:tc>
        <w:tc>
          <w:tcPr>
            <w:tcW w:w="1424"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89,0</w:t>
            </w:r>
          </w:p>
        </w:tc>
      </w:tr>
      <w:tr>
        <w:trPr>
          <w:trHeight w:val="460" w:hRule="atLeast"/>
        </w:trPr>
        <w:tc>
          <w:tcPr>
            <w:tcW w:w="5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jc w:val="center"/>
              <w:rPr>
                <w:rFonts w:ascii="Times New Roman" w:hAnsi="Times New Roman" w:cs="Times New Roman"/>
              </w:rPr>
            </w:pPr>
            <w:r>
              <w:rPr>
                <w:rFonts w:cs="Times New Roman" w:ascii="Times New Roman" w:hAnsi="Times New Roman"/>
              </w:rPr>
              <w:t>6.</w:t>
            </w:r>
          </w:p>
        </w:tc>
        <w:tc>
          <w:tcPr>
            <w:tcW w:w="3109"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rPr>
                <w:rFonts w:ascii="Times New Roman" w:hAnsi="Times New Roman" w:cs="Times New Roman"/>
                <w:color w:val="000000"/>
              </w:rPr>
            </w:pPr>
            <w:r>
              <w:rPr>
                <w:rFonts w:cs="Times New Roman" w:ascii="Times New Roman" w:hAnsi="Times New Roman"/>
                <w:color w:val="000000"/>
              </w:rPr>
              <w:t>Уголь, в том числе:</w:t>
            </w:r>
          </w:p>
        </w:tc>
        <w:tc>
          <w:tcPr>
            <w:tcW w:w="1245"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jc w:val="center"/>
              <w:rPr>
                <w:rFonts w:ascii="Times New Roman" w:hAnsi="Times New Roman" w:cs="Times New Roman"/>
              </w:rPr>
            </w:pPr>
            <w:r>
              <w:rPr>
                <w:rFonts w:cs="Times New Roman" w:ascii="Times New Roman" w:hAnsi="Times New Roman"/>
              </w:rPr>
              <w:t>тыс. тонн</w:t>
            </w:r>
          </w:p>
        </w:tc>
        <w:tc>
          <w:tcPr>
            <w:tcW w:w="1545"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Style32"/>
              <w:widowControl w:val="false"/>
              <w:spacing w:before="0" w:after="160"/>
              <w:jc w:val="center"/>
              <w:rPr>
                <w:rFonts w:ascii="Times New Roman" w:hAnsi="Times New Roman"/>
              </w:rPr>
            </w:pPr>
            <w:r>
              <w:rPr>
                <w:rFonts w:ascii="Times New Roman" w:hAnsi="Times New Roman"/>
              </w:rPr>
              <w:t>11,90</w:t>
            </w:r>
          </w:p>
        </w:tc>
        <w:tc>
          <w:tcPr>
            <w:tcW w:w="1500"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19,24</w:t>
            </w:r>
          </w:p>
        </w:tc>
        <w:tc>
          <w:tcPr>
            <w:tcW w:w="1424"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100,0</w:t>
            </w:r>
          </w:p>
        </w:tc>
      </w:tr>
      <w:tr>
        <w:trPr>
          <w:trHeight w:val="460" w:hRule="atLeast"/>
        </w:trPr>
        <w:tc>
          <w:tcPr>
            <w:tcW w:w="5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jc w:val="center"/>
              <w:rPr>
                <w:rFonts w:ascii="Times New Roman" w:hAnsi="Times New Roman" w:cs="Times New Roman"/>
              </w:rPr>
            </w:pPr>
            <w:r>
              <w:rPr>
                <w:rFonts w:cs="Times New Roman" w:ascii="Times New Roman" w:hAnsi="Times New Roman"/>
              </w:rPr>
              <w:t>6.1.</w:t>
            </w:r>
          </w:p>
        </w:tc>
        <w:tc>
          <w:tcPr>
            <w:tcW w:w="3109"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rPr>
                <w:rFonts w:ascii="Times New Roman" w:hAnsi="Times New Roman" w:cs="Times New Roman"/>
                <w:color w:val="000000"/>
              </w:rPr>
            </w:pPr>
            <w:r>
              <w:rPr>
                <w:rFonts w:cs="Times New Roman" w:ascii="Times New Roman" w:hAnsi="Times New Roman"/>
                <w:color w:val="000000"/>
              </w:rPr>
              <w:t>бурый</w:t>
            </w:r>
          </w:p>
        </w:tc>
        <w:tc>
          <w:tcPr>
            <w:tcW w:w="1245"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jc w:val="center"/>
              <w:rPr>
                <w:rFonts w:ascii="Times New Roman" w:hAnsi="Times New Roman" w:cs="Times New Roman"/>
              </w:rPr>
            </w:pPr>
            <w:r>
              <w:rPr>
                <w:rFonts w:cs="Times New Roman" w:ascii="Times New Roman" w:hAnsi="Times New Roman"/>
              </w:rPr>
              <w:t>тыс. тонн</w:t>
            </w:r>
          </w:p>
        </w:tc>
        <w:tc>
          <w:tcPr>
            <w:tcW w:w="1545"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Style32"/>
              <w:widowControl w:val="false"/>
              <w:spacing w:before="0" w:after="160"/>
              <w:jc w:val="center"/>
              <w:rPr>
                <w:rFonts w:ascii="Times New Roman" w:hAnsi="Times New Roman"/>
              </w:rPr>
            </w:pPr>
            <w:r>
              <w:rPr>
                <w:rFonts w:ascii="Times New Roman" w:hAnsi="Times New Roman"/>
              </w:rPr>
              <w:t>11,90</w:t>
            </w:r>
          </w:p>
        </w:tc>
        <w:tc>
          <w:tcPr>
            <w:tcW w:w="1500"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19,24</w:t>
            </w:r>
          </w:p>
        </w:tc>
        <w:tc>
          <w:tcPr>
            <w:tcW w:w="1424"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100,0</w:t>
            </w:r>
          </w:p>
        </w:tc>
      </w:tr>
      <w:tr>
        <w:trPr>
          <w:trHeight w:val="460" w:hRule="atLeast"/>
        </w:trPr>
        <w:tc>
          <w:tcPr>
            <w:tcW w:w="5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jc w:val="center"/>
              <w:rPr>
                <w:rFonts w:ascii="Times New Roman" w:hAnsi="Times New Roman" w:cs="Times New Roman"/>
              </w:rPr>
            </w:pPr>
            <w:r>
              <w:rPr>
                <w:rFonts w:cs="Times New Roman" w:ascii="Times New Roman" w:hAnsi="Times New Roman"/>
              </w:rPr>
              <w:t>6.2.</w:t>
            </w:r>
          </w:p>
        </w:tc>
        <w:tc>
          <w:tcPr>
            <w:tcW w:w="3109"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rPr>
                <w:rFonts w:ascii="Times New Roman" w:hAnsi="Times New Roman" w:cs="Times New Roman"/>
                <w:color w:val="000000"/>
              </w:rPr>
            </w:pPr>
            <w:r>
              <w:rPr>
                <w:rFonts w:cs="Times New Roman" w:ascii="Times New Roman" w:hAnsi="Times New Roman"/>
                <w:color w:val="000000"/>
              </w:rPr>
              <w:t>каменный</w:t>
            </w:r>
          </w:p>
        </w:tc>
        <w:tc>
          <w:tcPr>
            <w:tcW w:w="1245"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jc w:val="center"/>
              <w:rPr>
                <w:rFonts w:ascii="Times New Roman" w:hAnsi="Times New Roman" w:cs="Times New Roman"/>
              </w:rPr>
            </w:pPr>
            <w:r>
              <w:rPr>
                <w:rFonts w:cs="Times New Roman" w:ascii="Times New Roman" w:hAnsi="Times New Roman"/>
              </w:rPr>
              <w:t>тыс. тонн</w:t>
            </w:r>
          </w:p>
        </w:tc>
        <w:tc>
          <w:tcPr>
            <w:tcW w:w="1545"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0,00</w:t>
            </w:r>
          </w:p>
        </w:tc>
        <w:tc>
          <w:tcPr>
            <w:tcW w:w="1500"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0,00</w:t>
            </w:r>
          </w:p>
        </w:tc>
        <w:tc>
          <w:tcPr>
            <w:tcW w:w="1424"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rPr>
              <w:t>0,0</w:t>
            </w:r>
          </w:p>
        </w:tc>
      </w:tr>
      <w:tr>
        <w:trPr>
          <w:trHeight w:val="460" w:hRule="atLeast"/>
        </w:trPr>
        <w:tc>
          <w:tcPr>
            <w:tcW w:w="9389" w:type="dxa"/>
            <w:gridSpan w:val="6"/>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0"/>
              <w:jc w:val="center"/>
              <w:rPr>
                <w:rFonts w:ascii="Times New Roman" w:hAnsi="Times New Roman" w:cs="Times New Roman"/>
                <w:color w:val="000000"/>
              </w:rPr>
            </w:pPr>
            <w:r>
              <w:rPr>
                <w:rFonts w:cs="Times New Roman" w:ascii="Times New Roman" w:hAnsi="Times New Roman"/>
                <w:color w:val="000000"/>
              </w:rPr>
              <w:t>Цветные металлы</w:t>
            </w:r>
          </w:p>
        </w:tc>
      </w:tr>
      <w:tr>
        <w:trPr>
          <w:trHeight w:val="460" w:hRule="atLeast"/>
        </w:trPr>
        <w:tc>
          <w:tcPr>
            <w:tcW w:w="5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jc w:val="center"/>
              <w:rPr>
                <w:rFonts w:ascii="Times New Roman" w:hAnsi="Times New Roman" w:cs="Times New Roman"/>
              </w:rPr>
            </w:pPr>
            <w:r>
              <w:rPr>
                <w:rFonts w:cs="Times New Roman" w:ascii="Times New Roman" w:hAnsi="Times New Roman"/>
              </w:rPr>
              <w:t>7.</w:t>
            </w:r>
          </w:p>
        </w:tc>
        <w:tc>
          <w:tcPr>
            <w:tcW w:w="3109"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rPr>
                <w:rFonts w:ascii="Times New Roman" w:hAnsi="Times New Roman" w:cs="Times New Roman"/>
                <w:color w:val="000000"/>
              </w:rPr>
            </w:pPr>
            <w:r>
              <w:rPr>
                <w:rFonts w:cs="Times New Roman" w:ascii="Times New Roman" w:hAnsi="Times New Roman"/>
                <w:color w:val="000000"/>
              </w:rPr>
              <w:t>Никель (рудоконцентрат  с 6% содержанием Ni)</w:t>
            </w:r>
          </w:p>
        </w:tc>
        <w:tc>
          <w:tcPr>
            <w:tcW w:w="1245" w:type="dxa"/>
            <w:tcBorders>
              <w:left w:val="single" w:sz="4" w:space="0" w:color="000000"/>
              <w:bottom w:val="single" w:sz="4" w:space="0" w:color="000000"/>
              <w:right w:val="single" w:sz="4" w:space="0" w:color="000000"/>
            </w:tcBorders>
            <w:shd w:color="auto" w:fill="auto" w:val="clear"/>
          </w:tcPr>
          <w:p>
            <w:pPr>
              <w:pStyle w:val="Normal"/>
              <w:widowControl w:val="false"/>
              <w:spacing w:before="0" w:after="160"/>
              <w:jc w:val="right"/>
              <w:rPr>
                <w:rFonts w:ascii="Times New Roman" w:hAnsi="Times New Roman" w:cs="Times New Roman"/>
              </w:rPr>
            </w:pPr>
            <w:r>
              <w:rPr>
                <w:rFonts w:cs="Times New Roman" w:ascii="Times New Roman" w:hAnsi="Times New Roman"/>
                <w:color w:val="000000"/>
              </w:rPr>
              <w:t>тыс. тонн</w:t>
            </w:r>
          </w:p>
        </w:tc>
        <w:tc>
          <w:tcPr>
            <w:tcW w:w="1545"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Normal"/>
              <w:widowControl w:val="false"/>
              <w:spacing w:before="0" w:after="0"/>
              <w:jc w:val="center"/>
              <w:rPr>
                <w:highlight w:val="none"/>
                <w:shd w:fill="auto" w:val="clear"/>
              </w:rPr>
            </w:pPr>
            <w:r>
              <w:rPr>
                <w:rFonts w:cs="Times New Roman" w:ascii="Times New Roman" w:hAnsi="Times New Roman"/>
                <w:shd w:fill="auto" w:val="clear"/>
              </w:rPr>
              <w:t>0</w:t>
            </w:r>
          </w:p>
        </w:tc>
        <w:tc>
          <w:tcPr>
            <w:tcW w:w="1500"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Normal"/>
              <w:widowControl w:val="false"/>
              <w:spacing w:before="0" w:after="0"/>
              <w:jc w:val="center"/>
              <w:rPr>
                <w:highlight w:val="none"/>
                <w:shd w:fill="auto" w:val="clear"/>
              </w:rPr>
            </w:pPr>
            <w:r>
              <w:rPr>
                <w:rFonts w:cs="Times New Roman" w:ascii="Times New Roman" w:hAnsi="Times New Roman"/>
                <w:shd w:fill="auto" w:val="clear"/>
              </w:rPr>
              <w:t>0,0</w:t>
            </w:r>
          </w:p>
        </w:tc>
        <w:tc>
          <w:tcPr>
            <w:tcW w:w="1424"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Normal"/>
              <w:widowControl w:val="false"/>
              <w:spacing w:before="0" w:after="0"/>
              <w:jc w:val="center"/>
              <w:rPr>
                <w:highlight w:val="none"/>
                <w:shd w:fill="auto" w:val="clear"/>
              </w:rPr>
            </w:pPr>
            <w:r>
              <w:rPr>
                <w:rFonts w:cs="Times New Roman" w:ascii="Times New Roman" w:hAnsi="Times New Roman"/>
                <w:shd w:fill="auto" w:val="clear"/>
              </w:rPr>
              <w:t>-</w:t>
            </w:r>
          </w:p>
        </w:tc>
      </w:tr>
      <w:tr>
        <w:trPr>
          <w:trHeight w:val="460" w:hRule="atLeast"/>
        </w:trPr>
        <w:tc>
          <w:tcPr>
            <w:tcW w:w="9389" w:type="dxa"/>
            <w:gridSpan w:val="6"/>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0"/>
              <w:jc w:val="center"/>
              <w:rPr>
                <w:rFonts w:ascii="Times New Roman" w:hAnsi="Times New Roman" w:cs="Times New Roman"/>
              </w:rPr>
            </w:pPr>
            <w:r>
              <w:rPr>
                <w:rFonts w:cs="Times New Roman" w:ascii="Times New Roman" w:hAnsi="Times New Roman"/>
                <w:color w:val="000000"/>
              </w:rPr>
              <w:t>Другие</w:t>
            </w:r>
          </w:p>
        </w:tc>
      </w:tr>
      <w:tr>
        <w:trPr>
          <w:trHeight w:val="460" w:hRule="atLeast"/>
        </w:trPr>
        <w:tc>
          <w:tcPr>
            <w:tcW w:w="5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jc w:val="center"/>
              <w:rPr>
                <w:rFonts w:ascii="Times New Roman" w:hAnsi="Times New Roman" w:cs="Times New Roman"/>
              </w:rPr>
            </w:pPr>
            <w:r>
              <w:rPr>
                <w:rFonts w:cs="Times New Roman" w:ascii="Times New Roman" w:hAnsi="Times New Roman"/>
              </w:rPr>
              <w:t>8.</w:t>
            </w:r>
          </w:p>
        </w:tc>
        <w:tc>
          <w:tcPr>
            <w:tcW w:w="3109"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rPr>
                <w:rFonts w:ascii="Times New Roman" w:hAnsi="Times New Roman" w:cs="Times New Roman"/>
                <w:color w:val="000000"/>
              </w:rPr>
            </w:pPr>
            <w:r>
              <w:rPr>
                <w:rFonts w:cs="Times New Roman" w:ascii="Times New Roman" w:hAnsi="Times New Roman"/>
                <w:color w:val="000000"/>
              </w:rPr>
              <w:t>Пароводяная смесь</w:t>
            </w:r>
          </w:p>
        </w:tc>
        <w:tc>
          <w:tcPr>
            <w:tcW w:w="1245"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jc w:val="center"/>
              <w:rPr>
                <w:rFonts w:ascii="Times New Roman" w:hAnsi="Times New Roman" w:cs="Times New Roman"/>
              </w:rPr>
            </w:pPr>
            <w:r>
              <w:rPr>
                <w:rFonts w:cs="Times New Roman" w:ascii="Times New Roman" w:hAnsi="Times New Roman"/>
                <w:color w:val="000000"/>
              </w:rPr>
              <w:t>тыс. т</w:t>
            </w:r>
          </w:p>
        </w:tc>
        <w:tc>
          <w:tcPr>
            <w:tcW w:w="1545"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Style32"/>
              <w:widowControl w:val="false"/>
              <w:spacing w:before="0" w:after="160"/>
              <w:jc w:val="center"/>
              <w:rPr>
                <w:rFonts w:ascii="Times New Roman" w:hAnsi="Times New Roman"/>
              </w:rPr>
            </w:pPr>
            <w:r>
              <w:rPr>
                <w:rFonts w:ascii="Times New Roman" w:hAnsi="Times New Roman"/>
              </w:rPr>
              <w:t>14975,55</w:t>
            </w:r>
          </w:p>
        </w:tc>
        <w:tc>
          <w:tcPr>
            <w:tcW w:w="1500"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Style32"/>
              <w:widowControl w:val="false"/>
              <w:spacing w:before="0" w:after="160"/>
              <w:jc w:val="center"/>
              <w:rPr>
                <w:rFonts w:ascii="Times New Roman" w:hAnsi="Times New Roman"/>
              </w:rPr>
            </w:pPr>
            <w:r>
              <w:rPr>
                <w:rFonts w:ascii="Times New Roman" w:hAnsi="Times New Roman"/>
              </w:rPr>
              <w:t>15295,43</w:t>
            </w:r>
          </w:p>
        </w:tc>
        <w:tc>
          <w:tcPr>
            <w:tcW w:w="1424"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Style32"/>
              <w:widowControl w:val="false"/>
              <w:spacing w:before="0" w:after="160"/>
              <w:jc w:val="center"/>
              <w:rPr>
                <w:rFonts w:ascii="Times New Roman" w:hAnsi="Times New Roman"/>
              </w:rPr>
            </w:pPr>
            <w:r>
              <w:rPr>
                <w:rFonts w:ascii="Times New Roman" w:hAnsi="Times New Roman"/>
              </w:rPr>
              <w:t>102,14</w:t>
            </w:r>
          </w:p>
        </w:tc>
      </w:tr>
      <w:tr>
        <w:trPr>
          <w:trHeight w:val="460" w:hRule="atLeast"/>
        </w:trPr>
        <w:tc>
          <w:tcPr>
            <w:tcW w:w="566"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jc w:val="center"/>
              <w:rPr>
                <w:rFonts w:ascii="Times New Roman" w:hAnsi="Times New Roman" w:cs="Times New Roman"/>
              </w:rPr>
            </w:pPr>
            <w:r>
              <w:rPr>
                <w:rFonts w:cs="Times New Roman" w:ascii="Times New Roman" w:hAnsi="Times New Roman"/>
              </w:rPr>
              <w:t>9.</w:t>
            </w:r>
          </w:p>
        </w:tc>
        <w:tc>
          <w:tcPr>
            <w:tcW w:w="3109"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rPr>
                <w:rFonts w:ascii="Times New Roman" w:hAnsi="Times New Roman" w:cs="Times New Roman"/>
                <w:color w:val="000000"/>
              </w:rPr>
            </w:pPr>
            <w:r>
              <w:rPr>
                <w:rFonts w:cs="Times New Roman" w:ascii="Times New Roman" w:hAnsi="Times New Roman"/>
                <w:color w:val="000000"/>
              </w:rPr>
              <w:t>Термальная вода</w:t>
            </w:r>
          </w:p>
        </w:tc>
        <w:tc>
          <w:tcPr>
            <w:tcW w:w="1245" w:type="dxa"/>
            <w:tcBorders>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jc w:val="center"/>
              <w:rPr>
                <w:rFonts w:ascii="Times New Roman" w:hAnsi="Times New Roman" w:cs="Times New Roman"/>
              </w:rPr>
            </w:pPr>
            <w:r>
              <w:rPr>
                <w:rFonts w:cs="Times New Roman" w:ascii="Times New Roman" w:hAnsi="Times New Roman"/>
                <w:color w:val="000000"/>
              </w:rPr>
              <w:t>тыс. м</w:t>
            </w:r>
            <w:r>
              <w:rPr>
                <w:rFonts w:cs="Times New Roman" w:ascii="Times New Roman" w:hAnsi="Times New Roman"/>
                <w:color w:val="000000"/>
                <w:vertAlign w:val="superscript"/>
              </w:rPr>
              <w:t>3</w:t>
            </w:r>
          </w:p>
        </w:tc>
        <w:tc>
          <w:tcPr>
            <w:tcW w:w="1545"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Style32"/>
              <w:widowControl w:val="false"/>
              <w:spacing w:before="0" w:after="160"/>
              <w:jc w:val="center"/>
              <w:rPr>
                <w:rFonts w:ascii="Times New Roman" w:hAnsi="Times New Roman"/>
              </w:rPr>
            </w:pPr>
            <w:r>
              <w:rPr>
                <w:rFonts w:ascii="Times New Roman" w:hAnsi="Times New Roman"/>
              </w:rPr>
              <w:t>14939,00</w:t>
            </w:r>
          </w:p>
        </w:tc>
        <w:tc>
          <w:tcPr>
            <w:tcW w:w="1500"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Style32"/>
              <w:widowControl w:val="false"/>
              <w:spacing w:before="0" w:after="160"/>
              <w:jc w:val="center"/>
              <w:rPr>
                <w:rFonts w:ascii="Times New Roman" w:hAnsi="Times New Roman"/>
              </w:rPr>
            </w:pPr>
            <w:r>
              <w:rPr>
                <w:rFonts w:ascii="Times New Roman" w:hAnsi="Times New Roman"/>
              </w:rPr>
              <w:t>9833,20</w:t>
            </w:r>
          </w:p>
        </w:tc>
        <w:tc>
          <w:tcPr>
            <w:tcW w:w="1424"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Style32"/>
              <w:widowControl w:val="false"/>
              <w:spacing w:before="0" w:after="160"/>
              <w:jc w:val="center"/>
              <w:rPr>
                <w:rFonts w:ascii="Times New Roman" w:hAnsi="Times New Roman"/>
              </w:rPr>
            </w:pPr>
            <w:r>
              <w:rPr>
                <w:rFonts w:ascii="Times New Roman" w:hAnsi="Times New Roman"/>
              </w:rPr>
              <w:t>65,8</w:t>
            </w:r>
          </w:p>
        </w:tc>
      </w:tr>
      <w:tr>
        <w:trPr>
          <w:trHeight w:val="460" w:hRule="atLeast"/>
        </w:trPr>
        <w:tc>
          <w:tcPr>
            <w:tcW w:w="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jc w:val="center"/>
              <w:rPr>
                <w:rFonts w:ascii="Times New Roman" w:hAnsi="Times New Roman" w:cs="Times New Roman"/>
              </w:rPr>
            </w:pPr>
            <w:r>
              <w:rPr>
                <w:rFonts w:cs="Times New Roman" w:ascii="Times New Roman" w:hAnsi="Times New Roman"/>
              </w:rPr>
              <w:t>10.</w:t>
            </w:r>
          </w:p>
        </w:tc>
        <w:tc>
          <w:tcPr>
            <w:tcW w:w="31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rPr>
                <w:rFonts w:ascii="Times New Roman" w:hAnsi="Times New Roman" w:cs="Times New Roman"/>
                <w:color w:val="000000"/>
              </w:rPr>
            </w:pPr>
            <w:r>
              <w:rPr>
                <w:rFonts w:cs="Times New Roman" w:ascii="Times New Roman" w:hAnsi="Times New Roman"/>
                <w:color w:val="000000"/>
              </w:rPr>
              <w:t>Минеральная вода</w:t>
            </w:r>
          </w:p>
        </w:tc>
        <w:tc>
          <w:tcPr>
            <w:tcW w:w="12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jc w:val="center"/>
              <w:rPr>
                <w:rFonts w:ascii="Times New Roman" w:hAnsi="Times New Roman" w:cs="Times New Roman"/>
              </w:rPr>
            </w:pPr>
            <w:r>
              <w:rPr>
                <w:rFonts w:cs="Times New Roman" w:ascii="Times New Roman" w:hAnsi="Times New Roman"/>
                <w:color w:val="000000"/>
              </w:rPr>
              <w:t>тыс. м</w:t>
            </w:r>
            <w:r>
              <w:rPr>
                <w:rFonts w:cs="Times New Roman" w:ascii="Times New Roman" w:hAnsi="Times New Roman"/>
                <w:color w:val="000000"/>
                <w:vertAlign w:val="superscript"/>
              </w:rPr>
              <w:t>3</w:t>
            </w:r>
          </w:p>
        </w:tc>
        <w:tc>
          <w:tcPr>
            <w:tcW w:w="1545"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Style32"/>
              <w:widowControl w:val="false"/>
              <w:spacing w:before="0" w:after="160"/>
              <w:jc w:val="center"/>
              <w:rPr>
                <w:rFonts w:ascii="Times New Roman" w:hAnsi="Times New Roman"/>
              </w:rPr>
            </w:pPr>
            <w:r>
              <w:rPr>
                <w:rFonts w:ascii="Times New Roman" w:hAnsi="Times New Roman"/>
              </w:rPr>
              <w:t>22,9</w:t>
            </w:r>
          </w:p>
        </w:tc>
        <w:tc>
          <w:tcPr>
            <w:tcW w:w="1500"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Style32"/>
              <w:widowControl w:val="false"/>
              <w:spacing w:before="0" w:after="160"/>
              <w:jc w:val="center"/>
              <w:rPr>
                <w:rFonts w:ascii="Times New Roman" w:hAnsi="Times New Roman"/>
              </w:rPr>
            </w:pPr>
            <w:r>
              <w:rPr>
                <w:rFonts w:ascii="Times New Roman" w:hAnsi="Times New Roman"/>
              </w:rPr>
              <w:t>22,50</w:t>
            </w:r>
          </w:p>
        </w:tc>
        <w:tc>
          <w:tcPr>
            <w:tcW w:w="1424"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Style32"/>
              <w:widowControl w:val="false"/>
              <w:spacing w:before="0" w:after="160"/>
              <w:jc w:val="center"/>
              <w:rPr>
                <w:rFonts w:ascii="Times New Roman" w:hAnsi="Times New Roman"/>
              </w:rPr>
            </w:pPr>
            <w:r>
              <w:rPr>
                <w:rFonts w:ascii="Times New Roman" w:hAnsi="Times New Roman"/>
              </w:rPr>
              <w:t>98,25</w:t>
            </w:r>
          </w:p>
        </w:tc>
      </w:tr>
      <w:tr>
        <w:trPr>
          <w:trHeight w:val="460" w:hRule="atLeast"/>
        </w:trPr>
        <w:tc>
          <w:tcPr>
            <w:tcW w:w="56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jc w:val="center"/>
              <w:rPr>
                <w:rFonts w:ascii="Times New Roman" w:hAnsi="Times New Roman" w:cs="Times New Roman"/>
              </w:rPr>
            </w:pPr>
            <w:r>
              <w:rPr>
                <w:rFonts w:cs="Times New Roman" w:ascii="Times New Roman" w:hAnsi="Times New Roman"/>
              </w:rPr>
              <w:t>11</w:t>
            </w:r>
          </w:p>
        </w:tc>
        <w:tc>
          <w:tcPr>
            <w:tcW w:w="310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rPr>
                <w:rFonts w:ascii="Times New Roman" w:hAnsi="Times New Roman" w:cs="Times New Roman"/>
                <w:color w:val="000000"/>
              </w:rPr>
            </w:pPr>
            <w:r>
              <w:rPr>
                <w:rFonts w:cs="Times New Roman" w:ascii="Times New Roman" w:hAnsi="Times New Roman"/>
                <w:color w:val="000000"/>
              </w:rPr>
              <w:t>Общераспространенные полезные ископаемые</w:t>
            </w:r>
          </w:p>
        </w:tc>
        <w:tc>
          <w:tcPr>
            <w:tcW w:w="124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widowControl w:val="false"/>
              <w:spacing w:before="0" w:after="160"/>
              <w:jc w:val="center"/>
              <w:rPr>
                <w:rFonts w:ascii="Times New Roman" w:hAnsi="Times New Roman" w:cs="Times New Roman"/>
                <w:color w:val="000000"/>
              </w:rPr>
            </w:pPr>
            <w:r>
              <w:rPr>
                <w:rFonts w:cs="Times New Roman" w:ascii="Times New Roman" w:hAnsi="Times New Roman"/>
                <w:color w:val="000000"/>
              </w:rPr>
              <w:t>тыс. м</w:t>
            </w:r>
            <w:r>
              <w:rPr>
                <w:rFonts w:cs="Times New Roman" w:ascii="Times New Roman" w:hAnsi="Times New Roman"/>
                <w:color w:val="000000"/>
                <w:vertAlign w:val="superscript"/>
              </w:rPr>
              <w:t>3</w:t>
            </w:r>
          </w:p>
        </w:tc>
        <w:tc>
          <w:tcPr>
            <w:tcW w:w="1545"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Style32"/>
              <w:widowControl w:val="false"/>
              <w:spacing w:before="0" w:after="160"/>
              <w:jc w:val="center"/>
              <w:rPr>
                <w:rFonts w:ascii="Times New Roman" w:hAnsi="Times New Roman"/>
              </w:rPr>
            </w:pPr>
            <w:r>
              <w:rPr>
                <w:rFonts w:ascii="Times New Roman" w:hAnsi="Times New Roman"/>
              </w:rPr>
              <w:t>700,00</w:t>
            </w:r>
          </w:p>
        </w:tc>
        <w:tc>
          <w:tcPr>
            <w:tcW w:w="1500"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Style32"/>
              <w:widowControl w:val="false"/>
              <w:spacing w:before="0" w:after="160"/>
              <w:jc w:val="center"/>
              <w:rPr>
                <w:rFonts w:ascii="Times New Roman" w:hAnsi="Times New Roman"/>
              </w:rPr>
            </w:pPr>
            <w:r>
              <w:rPr>
                <w:rFonts w:ascii="Times New Roman" w:hAnsi="Times New Roman"/>
              </w:rPr>
              <w:t>1320,12</w:t>
            </w:r>
          </w:p>
        </w:tc>
        <w:tc>
          <w:tcPr>
            <w:tcW w:w="1424" w:type="dxa"/>
            <w:tcBorders>
              <w:top w:val="single" w:sz="4" w:space="0" w:color="000000"/>
              <w:bottom w:val="single" w:sz="4" w:space="0" w:color="000000"/>
              <w:right w:val="single" w:sz="4" w:space="0" w:color="000000"/>
            </w:tcBorders>
            <w:shd w:color="auto" w:fill="auto" w:val="clear"/>
            <w:tcMar>
              <w:right w:w="448" w:type="dxa"/>
            </w:tcMar>
            <w:vAlign w:val="center"/>
          </w:tcPr>
          <w:p>
            <w:pPr>
              <w:pStyle w:val="Style32"/>
              <w:widowControl w:val="false"/>
              <w:spacing w:before="0" w:after="160"/>
              <w:jc w:val="center"/>
              <w:rPr>
                <w:rFonts w:ascii="Times New Roman" w:hAnsi="Times New Roman"/>
              </w:rPr>
            </w:pPr>
            <w:r>
              <w:rPr>
                <w:rFonts w:ascii="Times New Roman" w:hAnsi="Times New Roman"/>
              </w:rPr>
              <w:t>188,6</w:t>
            </w:r>
          </w:p>
        </w:tc>
      </w:tr>
    </w:tbl>
    <w:p>
      <w:pPr>
        <w:pStyle w:val="Normal"/>
        <w:spacing w:before="0" w:after="160"/>
        <w:rPr>
          <w:rFonts w:ascii="Times New Roman" w:hAnsi="Times New Roman" w:cs="Times New Roman"/>
        </w:rPr>
      </w:pPr>
      <w:r>
        <w:rPr/>
      </w:r>
    </w:p>
    <w:sectPr>
      <w:headerReference w:type="default" r:id="rId3"/>
      <w:type w:val="nextPage"/>
      <w:pgSz w:w="11906" w:h="16838"/>
      <w:pgMar w:left="1304" w:right="709" w:gutter="0" w:header="709" w:top="1134" w:footer="0" w:bottom="96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Calibri">
    <w:charset w:val="01"/>
    <w:family w:val="roman"/>
    <w:pitch w:val="variable"/>
  </w:font>
  <w:font w:name="Times New Roman">
    <w:charset w:val="01"/>
    <w:family w:val="roman"/>
    <w:pitch w:val="variable"/>
  </w:font>
  <w:font w:name="Segoe UI">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TimesNewRomanPSMT">
    <w:charset w:val="01"/>
    <w:family w:val="roman"/>
    <w:pitch w:val="variable"/>
  </w:font>
  <w:font w:name="TimesNewRomanPS-BoldMT">
    <w:charset w:val="01"/>
    <w:family w:val="roman"/>
    <w:pitch w:val="variable"/>
  </w:font>
  <w:font w:name="OpenSymbol">
    <w:altName w:val="Arial Unicode MS"/>
    <w:charset w:val="01"/>
    <w:family w:val="auto"/>
    <w:pitch w:val="variable"/>
  </w:font>
  <w:font w:name="Symbol">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662112210"/>
    </w:sdtPr>
    <w:sdtContent>
      <w:p>
        <w:pPr>
          <w:pStyle w:val="Style31"/>
          <w:jc w:val="center"/>
          <w:rPr>
            <w:rFonts w:ascii="Times New Roman" w:hAnsi="Times New Roman" w:cs="Times New Roman"/>
            <w:sz w:val="24"/>
            <w:szCs w:val="24"/>
          </w:rPr>
        </w:pPr>
        <w:r>
          <w:rPr>
            <w:rFonts w:cs="Times New Roman" w:ascii="Times New Roman" w:hAnsi="Times New Roman"/>
            <w:sz w:val="24"/>
            <w:szCs w:val="24"/>
          </w:rPr>
          <w:fldChar w:fldCharType="begin"/>
        </w:r>
        <w:r>
          <w:rPr>
            <w:sz w:val="24"/>
            <w:szCs w:val="24"/>
            <w:rFonts w:cs="Times New Roman" w:ascii="Times New Roman" w:hAnsi="Times New Roman"/>
          </w:rPr>
          <w:instrText xml:space="preserve"> PAGE </w:instrText>
        </w:r>
        <w:r>
          <w:rPr>
            <w:sz w:val="24"/>
            <w:szCs w:val="24"/>
            <w:rFonts w:cs="Times New Roman" w:ascii="Times New Roman" w:hAnsi="Times New Roman"/>
          </w:rPr>
          <w:fldChar w:fldCharType="separate"/>
        </w:r>
        <w:r>
          <w:rPr>
            <w:sz w:val="24"/>
            <w:szCs w:val="24"/>
            <w:rFonts w:cs="Times New Roman" w:ascii="Times New Roman" w:hAnsi="Times New Roman"/>
          </w:rPr>
          <w:t>0</w:t>
        </w:r>
        <w:r>
          <w:rPr>
            <w:sz w:val="24"/>
            <w:szCs w:val="24"/>
            <w:rFonts w:cs="Times New Roman" w:ascii="Times New Roman" w:hAnsi="Times New Roman"/>
          </w:rPr>
          <w:fldChar w:fldCharType="end"/>
        </w:r>
      </w:p>
    </w:sdtContent>
  </w:sdt>
  <w:p>
    <w:pPr>
      <w:pStyle w:val="Style31"/>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720"/>
        </w:tabs>
        <w:ind w:left="720" w:hanging="360"/>
      </w:pPr>
      <w:rPr>
        <w:rFonts w:ascii="OpenSymbol" w:hAnsi="OpenSymbol" w:cs="Open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num w:numId="1">
    <w:abstractNumId w:val="1"/>
  </w:num>
  <w:num w:numId="2">
    <w:abstractNumId w:val="2"/>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75e4c"/>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Текст Знак"/>
    <w:basedOn w:val="DefaultParagraphFont"/>
    <w:link w:val="PlainText"/>
    <w:uiPriority w:val="99"/>
    <w:semiHidden/>
    <w:qFormat/>
    <w:rsid w:val="00e72da7"/>
    <w:rPr>
      <w:rFonts w:ascii="Calibri" w:hAnsi="Calibri" w:eastAsia="Calibri" w:cs="Times New Roman"/>
      <w:szCs w:val="21"/>
    </w:rPr>
  </w:style>
  <w:style w:type="character" w:styleId="Style15" w:customStyle="1">
    <w:name w:val="Нижний колонтитул Знак"/>
    <w:basedOn w:val="DefaultParagraphFont"/>
    <w:uiPriority w:val="99"/>
    <w:qFormat/>
    <w:rsid w:val="0095344d"/>
    <w:rPr>
      <w:rFonts w:ascii="Times New Roman" w:hAnsi="Times New Roman" w:eastAsia="Times New Roman" w:cs="Times New Roman"/>
      <w:sz w:val="28"/>
      <w:szCs w:val="28"/>
      <w:lang w:eastAsia="ru-RU"/>
    </w:rPr>
  </w:style>
  <w:style w:type="character" w:styleId="Style16" w:customStyle="1">
    <w:name w:val="Текст выноски Знак"/>
    <w:basedOn w:val="DefaultParagraphFont"/>
    <w:link w:val="BalloonText"/>
    <w:uiPriority w:val="99"/>
    <w:semiHidden/>
    <w:qFormat/>
    <w:rsid w:val="009277f0"/>
    <w:rPr>
      <w:rFonts w:ascii="Segoe UI" w:hAnsi="Segoe UI" w:cs="Segoe UI"/>
      <w:sz w:val="18"/>
      <w:szCs w:val="18"/>
    </w:rPr>
  </w:style>
  <w:style w:type="character" w:styleId="Style17" w:customStyle="1">
    <w:name w:val="Верхний колонтитул Знак"/>
    <w:basedOn w:val="DefaultParagraphFont"/>
    <w:uiPriority w:val="99"/>
    <w:qFormat/>
    <w:rsid w:val="008647e7"/>
    <w:rPr/>
  </w:style>
  <w:style w:type="character" w:styleId="Style18" w:customStyle="1">
    <w:name w:val="Основной текст_"/>
    <w:link w:val="3"/>
    <w:qFormat/>
    <w:locked/>
    <w:rsid w:val="00c3702e"/>
    <w:rPr>
      <w:rFonts w:ascii="Times New Roman" w:hAnsi="Times New Roman" w:eastAsia="Times New Roman" w:cs="Times New Roman"/>
      <w:sz w:val="27"/>
      <w:szCs w:val="27"/>
      <w:shd w:fill="FFFFFF" w:val="clear"/>
      <w:lang w:eastAsia="ru-RU"/>
    </w:rPr>
  </w:style>
  <w:style w:type="character" w:styleId="Style19">
    <w:name w:val="Hyperlink"/>
    <w:basedOn w:val="DefaultParagraphFont"/>
    <w:uiPriority w:val="99"/>
    <w:unhideWhenUsed/>
    <w:rsid w:val="001953f4"/>
    <w:rPr>
      <w:color w:val="0000FF"/>
      <w:u w:val="single"/>
    </w:rPr>
  </w:style>
  <w:style w:type="character" w:styleId="Dsexttexttov6w" w:customStyle="1">
    <w:name w:val="ds_ext_text-tov6w"/>
    <w:basedOn w:val="DefaultParagraphFont"/>
    <w:qFormat/>
    <w:rsid w:val="008c7efc"/>
    <w:rPr/>
  </w:style>
  <w:style w:type="character" w:styleId="Strong">
    <w:name w:val="Strong"/>
    <w:basedOn w:val="DefaultParagraphFont"/>
    <w:uiPriority w:val="22"/>
    <w:qFormat/>
    <w:rsid w:val="00925026"/>
    <w:rPr>
      <w:b/>
      <w:bCs/>
    </w:rPr>
  </w:style>
  <w:style w:type="character" w:styleId="Style20">
    <w:name w:val="Emphasis"/>
    <w:basedOn w:val="DefaultParagraphFont"/>
    <w:uiPriority w:val="20"/>
    <w:qFormat/>
    <w:rsid w:val="00925026"/>
    <w:rPr>
      <w:i/>
      <w:iCs/>
    </w:rPr>
  </w:style>
  <w:style w:type="character" w:styleId="Docdata" w:customStyle="1">
    <w:name w:val="docdata"/>
    <w:basedOn w:val="DefaultParagraphFont"/>
    <w:qFormat/>
    <w:rsid w:val="00eb0140"/>
    <w:rPr/>
  </w:style>
  <w:style w:type="character" w:styleId="Style21" w:customStyle="1">
    <w:name w:val="Основной текст Знак"/>
    <w:basedOn w:val="DefaultParagraphFont"/>
    <w:uiPriority w:val="99"/>
    <w:semiHidden/>
    <w:qFormat/>
    <w:rsid w:val="00066623"/>
    <w:rPr/>
  </w:style>
  <w:style w:type="character" w:styleId="1" w:customStyle="1">
    <w:name w:val="Основной текст Знак1"/>
    <w:basedOn w:val="DefaultParagraphFont"/>
    <w:uiPriority w:val="99"/>
    <w:qFormat/>
    <w:rsid w:val="00066623"/>
    <w:rPr>
      <w:rFonts w:ascii="Times New Roman" w:hAnsi="Times New Roman" w:eastAsia="Times New Roman" w:cs="Times New Roman"/>
      <w:sz w:val="24"/>
      <w:szCs w:val="24"/>
      <w:shd w:fill="FFFFFF" w:val="clear"/>
      <w:lang w:eastAsia="ru-RU"/>
    </w:rPr>
  </w:style>
  <w:style w:type="character" w:styleId="Style22" w:customStyle="1">
    <w:name w:val="Абзац списка Знак"/>
    <w:link w:val="ListParagraph"/>
    <w:uiPriority w:val="34"/>
    <w:qFormat/>
    <w:locked/>
    <w:rsid w:val="00a923d6"/>
    <w:rPr/>
  </w:style>
  <w:style w:type="character" w:styleId="Style23">
    <w:name w:val="Маркеры"/>
    <w:qFormat/>
    <w:rPr>
      <w:rFonts w:ascii="OpenSymbol" w:hAnsi="OpenSymbol" w:eastAsia="OpenSymbol" w:cs="OpenSymbol"/>
    </w:rPr>
  </w:style>
  <w:style w:type="paragraph" w:styleId="Style24">
    <w:name w:val="Заголовок"/>
    <w:basedOn w:val="Normal"/>
    <w:next w:val="Style25"/>
    <w:qFormat/>
    <w:pPr>
      <w:keepNext w:val="true"/>
      <w:spacing w:before="240" w:after="120"/>
    </w:pPr>
    <w:rPr>
      <w:rFonts w:ascii="Liberation Sans" w:hAnsi="Liberation Sans" w:eastAsia="Microsoft YaHei" w:cs="Arial"/>
      <w:sz w:val="28"/>
      <w:szCs w:val="28"/>
    </w:rPr>
  </w:style>
  <w:style w:type="paragraph" w:styleId="Style25">
    <w:name w:val="Body Text"/>
    <w:basedOn w:val="Normal"/>
    <w:link w:val="1"/>
    <w:uiPriority w:val="99"/>
    <w:rsid w:val="00066623"/>
    <w:pPr>
      <w:widowControl w:val="false"/>
      <w:shd w:val="clear" w:color="auto" w:fill="FFFFFF"/>
      <w:spacing w:lineRule="exact" w:line="288" w:before="0" w:after="0"/>
      <w:ind w:hanging="340"/>
      <w:jc w:val="right"/>
    </w:pPr>
    <w:rPr>
      <w:rFonts w:ascii="Times New Roman" w:hAnsi="Times New Roman" w:eastAsia="Times New Roman" w:cs="Times New Roman"/>
      <w:sz w:val="24"/>
      <w:szCs w:val="24"/>
      <w:lang w:eastAsia="ru-RU"/>
    </w:rPr>
  </w:style>
  <w:style w:type="paragraph" w:styleId="Style26">
    <w:name w:val="List"/>
    <w:basedOn w:val="Style25"/>
    <w:pPr/>
    <w:rPr>
      <w:rFonts w:cs="Arial"/>
    </w:rPr>
  </w:style>
  <w:style w:type="paragraph" w:styleId="Style27">
    <w:name w:val="Caption"/>
    <w:basedOn w:val="Normal"/>
    <w:qFormat/>
    <w:pPr>
      <w:suppressLineNumbers/>
      <w:spacing w:before="120" w:after="120"/>
    </w:pPr>
    <w:rPr>
      <w:rFonts w:cs="Arial"/>
      <w:i/>
      <w:iCs/>
      <w:sz w:val="24"/>
      <w:szCs w:val="24"/>
    </w:rPr>
  </w:style>
  <w:style w:type="paragraph" w:styleId="Style28">
    <w:name w:val="Указатель"/>
    <w:basedOn w:val="Normal"/>
    <w:qFormat/>
    <w:pPr>
      <w:suppressLineNumbers/>
    </w:pPr>
    <w:rPr>
      <w:rFonts w:cs="Arial"/>
    </w:rPr>
  </w:style>
  <w:style w:type="paragraph" w:styleId="PlainText">
    <w:name w:val="Plain Text"/>
    <w:basedOn w:val="Normal"/>
    <w:link w:val="Style14"/>
    <w:uiPriority w:val="99"/>
    <w:semiHidden/>
    <w:unhideWhenUsed/>
    <w:qFormat/>
    <w:rsid w:val="00e72da7"/>
    <w:pPr>
      <w:spacing w:lineRule="auto" w:line="240" w:before="0" w:after="0"/>
    </w:pPr>
    <w:rPr>
      <w:rFonts w:ascii="Calibri" w:hAnsi="Calibri" w:eastAsia="Calibri" w:cs="Times New Roman"/>
      <w:szCs w:val="21"/>
    </w:rPr>
  </w:style>
  <w:style w:type="paragraph" w:styleId="Style29">
    <w:name w:val="Колонтитул"/>
    <w:basedOn w:val="Normal"/>
    <w:qFormat/>
    <w:pPr/>
    <w:rPr/>
  </w:style>
  <w:style w:type="paragraph" w:styleId="Style30">
    <w:name w:val="Footer"/>
    <w:basedOn w:val="Normal"/>
    <w:link w:val="Style15"/>
    <w:uiPriority w:val="99"/>
    <w:rsid w:val="0095344d"/>
    <w:pPr>
      <w:tabs>
        <w:tab w:val="clear" w:pos="709"/>
        <w:tab w:val="center" w:pos="4677" w:leader="none"/>
        <w:tab w:val="right" w:pos="9355" w:leader="none"/>
      </w:tabs>
      <w:spacing w:lineRule="auto" w:line="240" w:before="0" w:after="0"/>
    </w:pPr>
    <w:rPr>
      <w:rFonts w:ascii="Times New Roman" w:hAnsi="Times New Roman" w:eastAsia="Times New Roman" w:cs="Times New Roman"/>
      <w:sz w:val="28"/>
      <w:szCs w:val="28"/>
      <w:lang w:eastAsia="ru-RU"/>
    </w:rPr>
  </w:style>
  <w:style w:type="paragraph" w:styleId="BalloonText">
    <w:name w:val="Balloon Text"/>
    <w:basedOn w:val="Normal"/>
    <w:link w:val="Style16"/>
    <w:uiPriority w:val="99"/>
    <w:semiHidden/>
    <w:unhideWhenUsed/>
    <w:qFormat/>
    <w:rsid w:val="009277f0"/>
    <w:pPr>
      <w:spacing w:lineRule="auto" w:line="240" w:before="0" w:after="0"/>
    </w:pPr>
    <w:rPr>
      <w:rFonts w:ascii="Segoe UI" w:hAnsi="Segoe UI" w:cs="Segoe UI"/>
      <w:sz w:val="18"/>
      <w:szCs w:val="18"/>
    </w:rPr>
  </w:style>
  <w:style w:type="paragraph" w:styleId="Style31">
    <w:name w:val="Header"/>
    <w:basedOn w:val="Normal"/>
    <w:link w:val="Style17"/>
    <w:uiPriority w:val="99"/>
    <w:unhideWhenUsed/>
    <w:rsid w:val="008647e7"/>
    <w:pPr>
      <w:tabs>
        <w:tab w:val="clear" w:pos="709"/>
        <w:tab w:val="center" w:pos="4677" w:leader="none"/>
        <w:tab w:val="right" w:pos="9355" w:leader="none"/>
      </w:tabs>
      <w:spacing w:lineRule="auto" w:line="240" w:before="0" w:after="0"/>
    </w:pPr>
    <w:rPr/>
  </w:style>
  <w:style w:type="paragraph" w:styleId="3" w:customStyle="1">
    <w:name w:val="Основной текст3"/>
    <w:basedOn w:val="Normal"/>
    <w:link w:val="Style18"/>
    <w:qFormat/>
    <w:rsid w:val="00c3702e"/>
    <w:pPr>
      <w:shd w:val="clear" w:color="auto" w:fill="FFFFFF"/>
      <w:spacing w:lineRule="exact" w:line="322" w:before="0" w:after="0"/>
    </w:pPr>
    <w:rPr>
      <w:rFonts w:ascii="Times New Roman" w:hAnsi="Times New Roman" w:eastAsia="Times New Roman" w:cs="Times New Roman"/>
      <w:sz w:val="27"/>
      <w:szCs w:val="27"/>
      <w:lang w:eastAsia="ru-RU"/>
    </w:rPr>
  </w:style>
  <w:style w:type="paragraph" w:styleId="ListParagraph">
    <w:name w:val="List Paragraph"/>
    <w:basedOn w:val="Normal"/>
    <w:link w:val="Style22"/>
    <w:uiPriority w:val="34"/>
    <w:qFormat/>
    <w:rsid w:val="004f7bd9"/>
    <w:pPr>
      <w:spacing w:before="0" w:after="160"/>
      <w:ind w:left="720" w:hanging="0"/>
      <w:contextualSpacing/>
    </w:pPr>
    <w:rPr/>
  </w:style>
  <w:style w:type="paragraph" w:styleId="Default" w:customStyle="1">
    <w:name w:val="Default"/>
    <w:qFormat/>
    <w:rsid w:val="0061409d"/>
    <w:pPr>
      <w:widowControl/>
      <w:suppressAutoHyphens w:val="true"/>
      <w:bidi w:val="0"/>
      <w:spacing w:lineRule="auto" w:line="240" w:before="0" w:after="0"/>
      <w:jc w:val="left"/>
    </w:pPr>
    <w:rPr>
      <w:rFonts w:ascii="Times New Roman" w:hAnsi="Times New Roman" w:eastAsia="Times New Roman" w:cs="Times New Roman"/>
      <w:color w:val="000000"/>
      <w:kern w:val="0"/>
      <w:sz w:val="24"/>
      <w:szCs w:val="24"/>
      <w:lang w:val="ru-RU" w:eastAsia="ru-RU" w:bidi="ar-SA"/>
    </w:rPr>
  </w:style>
  <w:style w:type="paragraph" w:styleId="NormalWeb">
    <w:name w:val="Normal (Web)"/>
    <w:basedOn w:val="Normal"/>
    <w:uiPriority w:val="99"/>
    <w:qFormat/>
    <w:rsid w:val="007e29a2"/>
    <w:pPr>
      <w:spacing w:lineRule="auto" w:line="240" w:before="101" w:afterAutospacing="1"/>
      <w:ind w:firstLine="101"/>
      <w:jc w:val="both"/>
    </w:pPr>
    <w:rPr>
      <w:rFonts w:ascii="Times New Roman" w:hAnsi="Times New Roman" w:eastAsia="Times New Roman" w:cs="Times New Roman"/>
      <w:sz w:val="14"/>
      <w:szCs w:val="14"/>
      <w:lang w:eastAsia="ru-RU"/>
    </w:rPr>
  </w:style>
  <w:style w:type="paragraph" w:styleId="Paragraphparagraphnycys" w:customStyle="1">
    <w:name w:val="paragraph_paragraph__nycys"/>
    <w:basedOn w:val="Normal"/>
    <w:qFormat/>
    <w:rsid w:val="008c7efc"/>
    <w:pPr>
      <w:spacing w:lineRule="auto" w:line="240" w:beforeAutospacing="1" w:afterAutospacing="1"/>
    </w:pPr>
    <w:rPr>
      <w:rFonts w:ascii="Times New Roman" w:hAnsi="Times New Roman" w:eastAsia="Times New Roman" w:cs="Times New Roman"/>
      <w:sz w:val="24"/>
      <w:szCs w:val="24"/>
      <w:lang w:eastAsia="ru-RU"/>
    </w:rPr>
  </w:style>
  <w:style w:type="paragraph" w:styleId="Style32">
    <w:name w:val="Содержимое таблицы"/>
    <w:basedOn w:val="Normal"/>
    <w:qFormat/>
    <w:pPr>
      <w:widowControl w:val="false"/>
      <w:suppressLineNumbers/>
    </w:pPr>
    <w:rPr/>
  </w:style>
  <w:style w:type="paragraph" w:styleId="Style33">
    <w:name w:val="Заголовок таблицы"/>
    <w:basedOn w:val="Style32"/>
    <w:qFormat/>
    <w:pPr>
      <w:suppressLineNumbers/>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uiPriority w:val="39"/>
    <w:rsid w:val="00ab3ec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B5DA0E66EA3304FB2328B05CA8E287A3A1A4EEBA9B9A787599FE51F194FECA8DD8B61F75275A4C1F5177EA107D4B69047995126D6D1D6B1Dc1oEG" TargetMode="External"/><Relationship Id="rId3" Type="http://schemas.openxmlformats.org/officeDocument/2006/relationships/header" Target="head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2271</TotalTime>
  <Application>LibreOffice/7.4.4.2$Linux_X86_64 LibreOffice_project/40$Build-2</Application>
  <AppVersion>15.0000</AppVersion>
  <Pages>5</Pages>
  <Words>1912</Words>
  <Characters>13166</Characters>
  <CharactersWithSpaces>14986</CharactersWithSpaces>
  <Paragraphs>159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2023-02-06T06:28:00Z</dcterms:created>
  <dc:creator>Киселев Виктор Вадимович</dc:creator>
  <dc:description/>
  <dc:language>ru-RU</dc:language>
  <cp:lastModifiedBy/>
  <cp:lastPrinted>2020-06-10T02:26:00Z</cp:lastPrinted>
  <dcterms:modified xsi:type="dcterms:W3CDTF">2023-12-14T11:15:35Z</dcterms:modified>
  <cp:revision>31</cp:revision>
  <dc:subject/>
  <dc:title/>
</cp:coreProperties>
</file>

<file path=docProps/custom.xml><?xml version="1.0" encoding="utf-8"?>
<Properties xmlns="http://schemas.openxmlformats.org/officeDocument/2006/custom-properties" xmlns:vt="http://schemas.openxmlformats.org/officeDocument/2006/docPropsVTypes"/>
</file>