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«Остров </w:t>
            </w:r>
            <w:r>
              <w:rPr>
                <w:rFonts w:ascii="Times New Roman" w:hAnsi="Times New Roman"/>
                <w:b w:val="1"/>
                <w:sz w:val="28"/>
              </w:rPr>
              <w:t>Кекур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Витгенштейна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</w:t>
      </w:r>
      <w:r>
        <w:rPr>
          <w:rFonts w:ascii="Times New Roman" w:hAnsi="Times New Roman"/>
          <w:sz w:val="28"/>
        </w:rPr>
        <w:t>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</w:t>
      </w:r>
      <w:r>
        <w:rPr>
          <w:rFonts w:ascii="Times New Roman" w:hAnsi="Times New Roman"/>
          <w:sz w:val="28"/>
        </w:rPr>
        <w:t>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</w:t>
      </w:r>
      <w:r>
        <w:rPr>
          <w:rFonts w:ascii="Times New Roman" w:hAnsi="Times New Roman"/>
          <w:sz w:val="28"/>
        </w:rPr>
        <w:t xml:space="preserve">амятнике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графическое описание местоположения границ памятника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2 к</w:t>
      </w:r>
      <w:r>
        <w:rPr>
          <w:rFonts w:ascii="Times New Roman" w:hAnsi="Times New Roman"/>
          <w:sz w:val="28"/>
        </w:rPr>
        <w:t xml:space="preserve">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1F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2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»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положение регулирует вопросы охраны и использования памятника </w:t>
      </w:r>
      <w:r>
        <w:rPr>
          <w:rFonts w:ascii="Times New Roman" w:hAnsi="Times New Roman"/>
          <w:sz w:val="28"/>
        </w:rPr>
        <w:t xml:space="preserve">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Целями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северо-западной части Берингова м</w:t>
      </w:r>
      <w:r>
        <w:rPr>
          <w:rFonts w:ascii="Times New Roman" w:hAnsi="Times New Roman"/>
          <w:sz w:val="28"/>
        </w:rPr>
        <w:t xml:space="preserve">оря островом конусообразной формы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(отметка 242,0 м над уровнем моря), с крутыми, местами обрывистыми берегами, рифами, надводными и подводными камнями, как среды обитания морских колониальных птиц и морских млекопитающих;  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</w:t>
      </w:r>
      <w:r>
        <w:rPr>
          <w:rFonts w:ascii="Times New Roman" w:hAnsi="Times New Roman"/>
          <w:sz w:val="28"/>
        </w:rPr>
        <w:t xml:space="preserve">ких видов животных, растений и грибов, занесенных в Красную книгу Камчатского края и Красную книгу Российской Федерации, таких как сивуч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peregrinus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harterti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сохранение среды их обитания;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гнездования 8 видов морских колониальных птиц, общая численность которых превышает 8–9,0 тыс. пар, залежек морских млекопитающих; 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пр</w:t>
      </w:r>
      <w:r>
        <w:rPr>
          <w:rFonts w:ascii="Times New Roman" w:hAnsi="Times New Roman"/>
          <w:sz w:val="28"/>
        </w:rPr>
        <w:t>ибрежной части Берингова моря при осуществлении туризма;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6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</w:t>
      </w:r>
      <w:r>
        <w:rPr>
          <w:rFonts w:ascii="Times New Roman" w:hAnsi="Times New Roman"/>
          <w:sz w:val="28"/>
        </w:rPr>
        <w:t>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</w:t>
      </w:r>
      <w:r>
        <w:rPr>
          <w:rFonts w:ascii="Times New Roman" w:hAnsi="Times New Roman"/>
          <w:sz w:val="28"/>
        </w:rPr>
        <w:t>ой области», без ограничения срока его функционирования.</w:t>
      </w:r>
    </w:p>
    <w:p w14:paraId="47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8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</w:t>
      </w:r>
      <w:r>
        <w:rPr>
          <w:rFonts w:ascii="Times New Roman" w:hAnsi="Times New Roman"/>
          <w:sz w:val="28"/>
        </w:rPr>
        <w:t xml:space="preserve">рироды составляет 15,92 га. </w:t>
      </w:r>
    </w:p>
    <w:p w14:paraId="49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8. Запрещается изменение целевого </w:t>
      </w:r>
      <w:r>
        <w:rPr>
          <w:rFonts w:ascii="Times New Roman" w:hAnsi="Times New Roman"/>
          <w:color w:themeColor="text1" w:val="000000"/>
          <w:sz w:val="28"/>
        </w:rPr>
        <w:t>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</w:t>
      </w:r>
      <w:r>
        <w:rPr>
          <w:rFonts w:ascii="Times New Roman" w:hAnsi="Times New Roman"/>
          <w:color w:themeColor="text1" w:val="000000"/>
          <w:sz w:val="28"/>
        </w:rPr>
        <w:t xml:space="preserve">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</w:t>
      </w:r>
      <w:r>
        <w:rPr>
          <w:rFonts w:ascii="Times New Roman" w:hAnsi="Times New Roman"/>
          <w:sz w:val="28"/>
        </w:rPr>
        <w:t>зование совместимо с целевым назначением защитных лесов и выполняемыми ими полезными функциями.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</w:t>
      </w:r>
      <w:r>
        <w:rPr>
          <w:rFonts w:ascii="Times New Roman" w:hAnsi="Times New Roman"/>
          <w:color w:themeColor="text1" w:val="000000"/>
          <w:sz w:val="28"/>
        </w:rPr>
        <w:t>природы (код 9.0).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</w:t>
      </w:r>
      <w:r>
        <w:rPr>
          <w:rFonts w:ascii="Times New Roman" w:hAnsi="Times New Roman"/>
          <w:color w:themeColor="text1" w:val="000000"/>
          <w:sz w:val="28"/>
        </w:rPr>
        <w:t>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12. Границы и особенности режима особой охраны Памятника природы учитываются при территориальном планиров</w:t>
      </w:r>
      <w:r>
        <w:rPr>
          <w:rFonts w:ascii="Times New Roman" w:hAnsi="Times New Roman"/>
          <w:color w:themeColor="text1" w:val="000000"/>
          <w:sz w:val="28"/>
        </w:rPr>
        <w:t>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</w:t>
      </w:r>
      <w:r>
        <w:rPr>
          <w:rFonts w:ascii="Times New Roman" w:hAnsi="Times New Roman"/>
          <w:color w:themeColor="text1" w:val="000000"/>
          <w:sz w:val="28"/>
        </w:rPr>
        <w:t xml:space="preserve">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</w:t>
      </w:r>
      <w:r>
        <w:rPr>
          <w:rFonts w:ascii="Times New Roman" w:hAnsi="Times New Roman"/>
          <w:sz w:val="28"/>
        </w:rPr>
        <w:t>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</w:t>
      </w:r>
      <w:r>
        <w:rPr>
          <w:rFonts w:ascii="Times New Roman" w:hAnsi="Times New Roman"/>
          <w:sz w:val="28"/>
        </w:rPr>
        <w:t xml:space="preserve"> Правительства Камчатского края от 15.07.2013 № 303-П.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</w:t>
      </w:r>
      <w:r>
        <w:rPr>
          <w:rFonts w:ascii="Times New Roman" w:hAnsi="Times New Roman"/>
          <w:sz w:val="28"/>
        </w:rPr>
        <w:t>и государственных природных заказников Камчатского края» (дал</w:t>
      </w:r>
      <w:r>
        <w:rPr>
          <w:rFonts w:ascii="Times New Roman" w:hAnsi="Times New Roman"/>
          <w:sz w:val="28"/>
        </w:rPr>
        <w:t xml:space="preserve">ее – Учреждение).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</w:t>
      </w:r>
      <w:r>
        <w:rPr>
          <w:rFonts w:ascii="Times New Roman" w:hAnsi="Times New Roman"/>
          <w:sz w:val="28"/>
        </w:rPr>
        <w:t xml:space="preserve">рческие организации, осуществляющие деятельность в области охраны окружающей среды.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4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северо-западной части</w:t>
      </w:r>
      <w:r>
        <w:rPr>
          <w:rFonts w:ascii="Times New Roman" w:hAnsi="Times New Roman"/>
          <w:sz w:val="28"/>
        </w:rPr>
        <w:t xml:space="preserve"> Берингова моря, в бухте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, между мысами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и Цепочка. 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 обнажающихся в отлив подводных скал и камней: </w:t>
      </w:r>
    </w:p>
    <w:p w14:paraId="5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</w:t>
      </w:r>
      <w:r>
        <w:rPr>
          <w:rFonts w:ascii="Times New Roman" w:hAnsi="Times New Roman"/>
          <w:sz w:val="28"/>
        </w:rPr>
        <w:t>я граница: от характерной точки 8 с географическими координатами 60 градусов 51 минута 0.7 секунды северной широты и 172 градусов 5 минут 55.6 секунды восточной долготы, расположенной в 1055,6 м к югу от мыса Цепочка, проходит в общем восточном направлении</w:t>
      </w:r>
      <w:r>
        <w:rPr>
          <w:rFonts w:ascii="Times New Roman" w:hAnsi="Times New Roman"/>
          <w:sz w:val="28"/>
        </w:rPr>
        <w:t xml:space="preserve"> на протяжении 271,1 м вдоль береговой линии острова через характерные точки 7–1 до характерной точки 45 с географическими координатами 60 градусов 50 минут 59.2 секунды северной широты и 172 градусов 6 минут 12.7 секунды восточной долготы, соответствующей</w:t>
      </w:r>
      <w:r>
        <w:rPr>
          <w:rFonts w:ascii="Times New Roman" w:hAnsi="Times New Roman"/>
          <w:sz w:val="28"/>
        </w:rPr>
        <w:t xml:space="preserve"> крайней северо-восточной точке острова;</w:t>
      </w:r>
    </w:p>
    <w:p w14:paraId="5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граница: от характерной точки 45 в общем южном и юго-западном направлении на протяжении 622,2 м вдоль береговой линии острова через характерные точки 44–26 до характерной точки 25 с геог</w:t>
      </w:r>
      <w:r>
        <w:rPr>
          <w:rFonts w:ascii="Times New Roman" w:hAnsi="Times New Roman"/>
          <w:sz w:val="28"/>
        </w:rPr>
        <w:t>рафическими координатами 60 градусов 50 минут 43.8 секунды северной широты и 172 градусов 5 минут 59.9 секунды восточной долготы, соответствующей крайней юго-восточной точке острова;</w:t>
      </w: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3)юго-западная и западная граница: от характерной точки 25 в общем западном, северном и северо-западном направлении на протяжении 666,3 м вдоль береговой линии острова через характерные точки 24–9 до характерной точки 8, где и замыкается. </w:t>
      </w:r>
    </w:p>
    <w:p w14:paraId="5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</w:t>
      </w:r>
      <w:r>
        <w:rPr>
          <w:rFonts w:ascii="Times New Roman" w:hAnsi="Times New Roman"/>
          <w:sz w:val="28"/>
        </w:rPr>
        <w:t xml:space="preserve"> охраны и использования территории Памятника природы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F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0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ремонт объ</w:t>
      </w:r>
      <w:r>
        <w:rPr>
          <w:rFonts w:ascii="Times New Roman" w:hAnsi="Times New Roman"/>
          <w:sz w:val="28"/>
        </w:rPr>
        <w:t>ектов капитального строительства;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деятельность, влекущая за собой нарушение, повреждение, уничтожение природного комплекса, в том числе нарушение исторически </w:t>
      </w:r>
      <w:r>
        <w:rPr>
          <w:rFonts w:ascii="Times New Roman" w:hAnsi="Times New Roman"/>
          <w:sz w:val="28"/>
        </w:rPr>
        <w:t>сложившегося ландшафта, почвенного и растите</w:t>
      </w:r>
      <w:r>
        <w:rPr>
          <w:rFonts w:ascii="Times New Roman" w:hAnsi="Times New Roman"/>
          <w:sz w:val="28"/>
        </w:rPr>
        <w:t>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</w:t>
      </w:r>
      <w:r>
        <w:rPr>
          <w:rFonts w:ascii="Times New Roman" w:hAnsi="Times New Roman"/>
          <w:sz w:val="28"/>
        </w:rPr>
        <w:t>драми, в том числе выполнение работ по геологическому изучению недр, разработка месторождений полезных ископаемых;</w:t>
      </w:r>
    </w:p>
    <w:p w14:paraId="64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5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 прилегающей морской акватории и бере</w:t>
      </w:r>
      <w:r>
        <w:rPr>
          <w:rFonts w:ascii="Times New Roman" w:hAnsi="Times New Roman"/>
          <w:sz w:val="28"/>
        </w:rPr>
        <w:t xml:space="preserve">гов острова; 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8000000">
      <w:pPr>
        <w:numPr>
          <w:ilvl w:val="0"/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пролет вертолетов и иных летательных аппаратов ниже 300 м над островом, посадка вертолетов и стоянка </w:t>
      </w:r>
      <w:r>
        <w:rPr>
          <w:rFonts w:ascii="Times New Roman" w:hAnsi="Times New Roman"/>
          <w:sz w:val="28"/>
        </w:rPr>
        <w:t>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</w:t>
      </w:r>
      <w:r>
        <w:rPr>
          <w:rFonts w:ascii="Times New Roman" w:hAnsi="Times New Roman"/>
          <w:sz w:val="28"/>
        </w:rPr>
        <w:t>вания морских колониальных птиц на расстояние менее 150 м;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</w:t>
      </w:r>
      <w:r>
        <w:rPr>
          <w:rFonts w:ascii="Times New Roman" w:hAnsi="Times New Roman"/>
          <w:sz w:val="28"/>
        </w:rPr>
        <w:t xml:space="preserve"> размещение, захоронение, сжигание отходов производства и потребления;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</w:t>
      </w:r>
      <w:r>
        <w:rPr>
          <w:rFonts w:ascii="Times New Roman" w:hAnsi="Times New Roman"/>
          <w:sz w:val="28"/>
        </w:rPr>
        <w:t>еществ;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акватории Берингова моря; 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аршрутах ;</w:t>
      </w:r>
      <w:r>
        <w:rPr>
          <w:rFonts w:ascii="Times New Roman" w:hAnsi="Times New Roman"/>
          <w:sz w:val="28"/>
        </w:rPr>
        <w:t xml:space="preserve">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</w:t>
      </w:r>
      <w:r>
        <w:rPr>
          <w:rFonts w:ascii="Times New Roman" w:hAnsi="Times New Roman"/>
          <w:sz w:val="28"/>
        </w:rPr>
        <w:t>ругих информационных знаков и указателей, нанесение на скалы, информационные знаки и указатели самовольных надписей.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</w:t>
      </w:r>
      <w:r>
        <w:rPr>
          <w:rFonts w:ascii="Times New Roman" w:hAnsi="Times New Roman"/>
          <w:sz w:val="28"/>
        </w:rPr>
        <w:t xml:space="preserve">ение биологического и ландшафтного разнообразия, динамики и структуры </w:t>
      </w:r>
      <w:r>
        <w:rPr>
          <w:rFonts w:ascii="Times New Roman" w:hAnsi="Times New Roman"/>
          <w:sz w:val="28"/>
        </w:rPr>
        <w:t>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>
        <w:rPr>
          <w:rFonts w:ascii="Times New Roman" w:hAnsi="Times New Roman"/>
          <w:sz w:val="28"/>
        </w:rPr>
        <w:t>;</w:t>
      </w:r>
    </w:p>
    <w:p w14:paraId="7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проведение мероприятий, направленных на сохранение, восстановление и поддержание в равновесном состоянии островной экосистемы, в том числе м</w:t>
      </w:r>
      <w:r>
        <w:rPr>
          <w:rFonts w:ascii="Times New Roman" w:hAnsi="Times New Roman"/>
          <w:sz w:val="28"/>
        </w:rPr>
        <w:t>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9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</w:t>
      </w:r>
      <w:r>
        <w:rPr>
          <w:rFonts w:ascii="Times New Roman" w:hAnsi="Times New Roman"/>
          <w:sz w:val="28"/>
        </w:rPr>
        <w:t>ская деятельность.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ind w:firstLine="709" w:left="0"/>
        <w:jc w:val="both"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E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3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A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A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B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</w:rPr>
              <w:t>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159230 +/- 3492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Исполнительного комитета Камчатского областного Совета народных депутатов от </w:t>
            </w:r>
            <w:r>
              <w:rPr>
                <w:rFonts w:ascii="Times New Roman" w:hAnsi="Times New Roman"/>
                <w:sz w:val="24"/>
              </w:rPr>
              <w:t>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C2000000">
      <w:pPr>
        <w:spacing w:after="0"/>
        <w:ind/>
        <w:jc w:val="center"/>
      </w:pPr>
    </w:p>
    <w:p w14:paraId="C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3488809.32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172°6'7.3''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1433410.00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3488748.88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1433425.31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3488710.32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172°6'2.7''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3488667.30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1433450.76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3488635.40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3488601.62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3488540.07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172°5'51.4''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60°50'57.4''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1433313.10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3488492.53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1433219.06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1433166.81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3488486.32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1433133.05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1433085.34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1433014.41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3488534.87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172°5'50.5''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1432983.42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172°5'52.2''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1432959.93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3488581.04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3488613.11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3488636.38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1432925.85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3488658.31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172°5'58.5''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3488681.20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</w:t>
            </w:r>
            <w:r>
              <w:rPr>
                <w:rFonts w:ascii="Times New Roman" w:hAnsi="Times New Roman"/>
                <w:sz w:val="24"/>
              </w:rPr>
              <w:t>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3488701.51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1432961.50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3488733.84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172°6'3.5''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1432997.11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3488762.49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1433021.53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</w:t>
            </w:r>
            <w:r>
              <w:rPr>
                <w:rFonts w:ascii="Times New Roman" w:hAnsi="Times New Roman"/>
                <w:sz w:val="24"/>
              </w:rP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1433071.36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3488767.17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3488766.65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3488798.26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172°6'8.0''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3488817.96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1433107.94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3488835.06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172°6'10.5''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1433143.38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3488857.07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1433174.42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1433199.84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3488890.64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60°50'52.4''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1433238.18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60°50'53.7</w:t>
            </w:r>
            <w:r>
              <w:rPr>
                <w:rFonts w:ascii="Times New Roman" w:hAnsi="Times New Roman"/>
                <w:sz w:val="24"/>
              </w:rP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1433268.74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172°6'15.0''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1433340.54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3488895.88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1433374.10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3488887.37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1433394.50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3488873.76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1433409.46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3488861.37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172°6'12.7''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</w:tbl>
    <w:p w14:paraId="C0010000">
      <w:pPr>
        <w:ind/>
        <w:jc w:val="center"/>
        <w:rPr>
          <w:rFonts w:ascii="Times New Roman" w:hAnsi="Times New Roman"/>
          <w:sz w:val="24"/>
        </w:rPr>
      </w:pPr>
    </w:p>
    <w:p w14:paraId="C1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2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3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4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5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6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7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8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9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A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sz w:val="28"/>
        </w:rPr>
        <w:t>амятника природы</w:t>
      </w:r>
    </w:p>
    <w:p w14:paraId="CB010000">
      <w:pPr>
        <w:ind/>
        <w:jc w:val="center"/>
        <w:rPr>
          <w:b w:val="1"/>
          <w:sz w:val="24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95249</wp:posOffset>
            </wp:positionV>
            <wp:extent cx="5953125" cy="7096125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26021" l="2266" r="5346" t="2780"/>
                    <a:stretch/>
                  </pic:blipFill>
                  <pic:spPr>
                    <a:xfrm flipH="false" flipV="false" rot="0">
                      <a:ext cx="5953125" cy="70961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C010000">
      <w:pPr>
        <w:ind/>
        <w:jc w:val="center"/>
        <w:rPr>
          <w:b w:val="1"/>
          <w:color w:themeColor="text1" w:val="000000"/>
        </w:rPr>
      </w:pPr>
    </w:p>
    <w:p w14:paraId="CD010000">
      <w:pPr>
        <w:tabs>
          <w:tab w:leader="none" w:pos="8700" w:val="left"/>
        </w:tabs>
        <w:ind/>
        <w:rPr>
          <w:b w:val="1"/>
          <w:color w:themeColor="text1" w:val="000000"/>
        </w:rPr>
      </w:pPr>
      <w:bookmarkStart w:id="3" w:name="_GoBack"/>
      <w:bookmarkEnd w:id="3"/>
      <w:r>
        <w:rPr>
          <w:b w:val="1"/>
          <w:color w:themeColor="text1" w:val="000000"/>
        </w:rPr>
        <w:tab/>
      </w:r>
    </w:p>
    <w:p w14:paraId="CE010000">
      <w:pPr>
        <w:ind/>
        <w:jc w:val="center"/>
      </w:pPr>
    </w:p>
    <w:p w14:paraId="CF010000">
      <w:pPr>
        <w:ind/>
        <w:jc w:val="center"/>
        <w:rPr>
          <w:b w:val="1"/>
          <w:color w:themeColor="text1" w:val="000000"/>
        </w:rPr>
      </w:pPr>
    </w:p>
    <w:p w14:paraId="D0010000">
      <w:pPr>
        <w:ind/>
        <w:jc w:val="center"/>
      </w:pPr>
    </w:p>
    <w:p w14:paraId="D1010000">
      <w:pPr>
        <w:ind/>
        <w:jc w:val="center"/>
      </w:pPr>
    </w:p>
    <w:p w14:paraId="D2010000">
      <w:pPr>
        <w:ind/>
        <w:jc w:val="center"/>
      </w:pPr>
    </w:p>
    <w:p w14:paraId="D3010000">
      <w:pPr>
        <w:ind/>
        <w:jc w:val="center"/>
      </w:pPr>
    </w:p>
    <w:p w14:paraId="D4010000">
      <w:pPr>
        <w:ind/>
        <w:jc w:val="center"/>
      </w:pPr>
    </w:p>
    <w:p w14:paraId="D5010000">
      <w:pPr>
        <w:ind/>
        <w:jc w:val="center"/>
      </w:pPr>
    </w:p>
    <w:p w14:paraId="D6010000">
      <w:pPr>
        <w:ind/>
        <w:jc w:val="center"/>
      </w:pPr>
    </w:p>
    <w:p w14:paraId="D7010000">
      <w:pPr>
        <w:ind/>
        <w:jc w:val="center"/>
      </w:pPr>
    </w:p>
    <w:p w14:paraId="D8010000">
      <w:pPr>
        <w:ind/>
        <w:jc w:val="center"/>
      </w:pPr>
    </w:p>
    <w:p w14:paraId="D9010000">
      <w:pPr>
        <w:ind/>
        <w:jc w:val="center"/>
      </w:pPr>
    </w:p>
    <w:p w14:paraId="DA010000">
      <w:pPr>
        <w:ind/>
        <w:jc w:val="center"/>
      </w:pPr>
    </w:p>
    <w:p w14:paraId="DB010000">
      <w:pPr>
        <w:ind/>
        <w:jc w:val="center"/>
      </w:pPr>
    </w:p>
    <w:p w14:paraId="DC010000">
      <w:pPr>
        <w:ind/>
        <w:jc w:val="center"/>
      </w:pPr>
    </w:p>
    <w:p w14:paraId="DD010000">
      <w:pPr>
        <w:ind/>
        <w:jc w:val="center"/>
      </w:pPr>
    </w:p>
    <w:p w14:paraId="DE010000">
      <w:pPr>
        <w:ind/>
        <w:jc w:val="center"/>
      </w:pPr>
    </w:p>
    <w:p w14:paraId="DF010000">
      <w:pPr>
        <w:ind/>
        <w:jc w:val="center"/>
      </w:pPr>
    </w:p>
    <w:p w14:paraId="E0010000">
      <w:pPr>
        <w:ind/>
        <w:jc w:val="center"/>
      </w:pPr>
    </w:p>
    <w:p w14:paraId="E1010000">
      <w:pPr>
        <w:ind/>
        <w:jc w:val="center"/>
      </w:pPr>
    </w:p>
    <w:p w14:paraId="E2010000">
      <w:pPr>
        <w:ind/>
        <w:jc w:val="center"/>
      </w:pPr>
    </w:p>
    <w:p w14:paraId="E3010000">
      <w:pPr>
        <w:ind/>
        <w:jc w:val="center"/>
      </w:pPr>
    </w:p>
    <w:p w14:paraId="E4010000">
      <w:pPr>
        <w:spacing w:after="0" w:line="240" w:lineRule="auto"/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13334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5010000">
      <w:pPr>
        <w:spacing w:after="0" w:line="240" w:lineRule="auto"/>
        <w:ind/>
        <w:jc w:val="center"/>
      </w:pPr>
    </w:p>
    <w:p w14:paraId="E6010000">
      <w:pPr>
        <w:spacing w:after="0" w:line="240" w:lineRule="auto"/>
        <w:ind/>
        <w:jc w:val="center"/>
      </w:pPr>
    </w:p>
    <w:p w14:paraId="E7010000">
      <w:pPr>
        <w:spacing w:after="0" w:line="240" w:lineRule="auto"/>
        <w:ind/>
        <w:jc w:val="center"/>
      </w:pPr>
    </w:p>
    <w:p w14:paraId="E8010000">
      <w:pPr>
        <w:spacing w:after="0" w:line="240" w:lineRule="auto"/>
        <w:ind/>
        <w:jc w:val="center"/>
      </w:pPr>
    </w:p>
    <w:p w14:paraId="E9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A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B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C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D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E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F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</w:t>
      </w:r>
      <w:r>
        <w:rPr>
          <w:rFonts w:ascii="Times New Roman" w:hAnsi="Times New Roman"/>
          <w:sz w:val="28"/>
        </w:rPr>
        <w:t xml:space="preserve"> 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 </w:t>
      </w:r>
      <w:r>
        <w:rPr>
          <w:rFonts w:ascii="Times New Roman" w:hAnsi="Times New Roman"/>
          <w:sz w:val="28"/>
        </w:rPr>
        <w:t>Схема</w:t>
      </w:r>
      <w:r>
        <w:rPr>
          <w:rFonts w:ascii="Times New Roman" w:hAnsi="Times New Roman"/>
          <w:sz w:val="28"/>
        </w:rPr>
        <w:t xml:space="preserve">  </w:t>
      </w:r>
      <w:r>
        <w:rPr>
          <w:rFonts w:ascii="Times New Roman" w:hAnsi="Times New Roman"/>
          <w:sz w:val="28"/>
        </w:rPr>
        <w:t>местоположения</w:t>
      </w:r>
      <w:r>
        <w:rPr>
          <w:rFonts w:ascii="Times New Roman" w:hAnsi="Times New Roman"/>
          <w:sz w:val="28"/>
        </w:rPr>
        <w:t xml:space="preserve">  </w:t>
      </w:r>
      <w:r>
        <w:rPr>
          <w:rFonts w:ascii="Times New Roman" w:hAnsi="Times New Roman"/>
          <w:sz w:val="28"/>
        </w:rPr>
        <w:t xml:space="preserve">Памятника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природы</w:t>
      </w:r>
    </w:p>
    <w:p w14:paraId="F0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1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3600" cy="69056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202" l="1089" r="1785" t="543"/>
                    <a:stretch/>
                  </pic:blipFill>
                  <pic:spPr>
                    <a:xfrm flipH="false" flipV="false" rot="0">
                      <a:ext cx="5943600" cy="69056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russianLower"/>
      <w:lvlText w:val="%1)"/>
      <w:lvlJc w:val="left"/>
      <w:pPr>
        <w:ind w:hanging="360" w:left="720"/>
      </w:pPr>
    </w:lvl>
    <w:lvl w:ilvl="1">
      <w:start w:val="1"/>
      <w:numFmt w:val="decimal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lvlJc w:val="left"/>
      <w:pPr>
        <w:ind w:hanging="360" w:left="2880"/>
      </w:pPr>
    </w:lvl>
    <w:lvl w:ilvl="4">
      <w:start w:val="1"/>
      <w:numFmt w:val="decimal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lvlJc w:val="left"/>
      <w:pPr>
        <w:ind w:hanging="360" w:left="5040"/>
      </w:pPr>
    </w:lvl>
    <w:lvl w:ilvl="7">
      <w:start w:val="1"/>
      <w:numFmt w:val="decimal"/>
      <w:lvlText w:val="%8)"/>
      <w:lvlJc w:val="left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Гиперссылка1"/>
    <w:basedOn w:val="Style_10"/>
    <w:link w:val="Style_9_ch"/>
    <w:rPr>
      <w:color w:themeColor="hyperlink" w:val="0563C1"/>
      <w:u w:val="single"/>
    </w:rPr>
  </w:style>
  <w:style w:styleId="Style_9_ch" w:type="character">
    <w:name w:val="Гиперссылка1"/>
    <w:basedOn w:val="Style_10_ch"/>
    <w:link w:val="Style_9"/>
    <w:rPr>
      <w:color w:themeColor="hyperlink" w:val="0563C1"/>
      <w:u w:val="single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Segoe UI" w:hAnsi="Segoe UI"/>
      <w:sz w:val="18"/>
    </w:rPr>
  </w:style>
  <w:style w:styleId="Style_11_ch" w:type="character">
    <w:name w:val="Balloon Text"/>
    <w:basedOn w:val="Style_3_ch"/>
    <w:link w:val="Style_11"/>
    <w:rPr>
      <w:rFonts w:ascii="Segoe UI" w:hAnsi="Segoe UI"/>
      <w:sz w:val="18"/>
    </w:rPr>
  </w:style>
  <w:style w:styleId="Style_10" w:type="paragraph">
    <w:name w:val="Основной шрифт абзаца1"/>
    <w:link w:val="Style_10_ch"/>
  </w:style>
  <w:style w:styleId="Style_10_ch" w:type="character">
    <w:name w:val="Основной шрифт абзаца1"/>
    <w:link w:val="Style_10"/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4_ch" w:type="character">
    <w:name w:val="heading 5"/>
    <w:link w:val="Style_14"/>
    <w:rPr>
      <w:rFonts w:ascii="XO Thames" w:hAnsi="XO Thames"/>
      <w:b w:val="1"/>
    </w:rPr>
  </w:style>
  <w:style w:styleId="Style_15" w:type="paragraph">
    <w:name w:val="Plain Text"/>
    <w:basedOn w:val="Style_3"/>
    <w:link w:val="Style_15_ch"/>
    <w:pPr>
      <w:spacing w:after="0" w:line="240" w:lineRule="auto"/>
      <w:ind/>
    </w:pPr>
    <w:rPr>
      <w:rFonts w:ascii="Calibri" w:hAnsi="Calibri"/>
    </w:rPr>
  </w:style>
  <w:style w:styleId="Style_15_ch" w:type="character">
    <w:name w:val="Plain Text"/>
    <w:basedOn w:val="Style_3_ch"/>
    <w:link w:val="Style_15"/>
    <w:rPr>
      <w:rFonts w:ascii="Calibri" w:hAnsi="Calibri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Гиперссылка1"/>
    <w:link w:val="Style_17_ch"/>
    <w:rPr>
      <w:color w:val="0000FF"/>
      <w:u w:val="single"/>
    </w:rPr>
  </w:style>
  <w:style w:styleId="Style_17_ch" w:type="character">
    <w:name w:val="Гиперссылка1"/>
    <w:link w:val="Style_17"/>
    <w:rPr>
      <w:color w:val="0000FF"/>
      <w:u w:val="single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3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3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toc 8"/>
    <w:next w:val="Style_3"/>
    <w:link w:val="Style_25_ch"/>
    <w:uiPriority w:val="39"/>
    <w:pPr>
      <w:ind w:firstLine="0" w:left="1400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footer"/>
    <w:basedOn w:val="Style_3"/>
    <w:link w:val="Style_26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26_ch" w:type="character">
    <w:name w:val="footer"/>
    <w:basedOn w:val="Style_3_ch"/>
    <w:link w:val="Style_26"/>
    <w:rPr>
      <w:rFonts w:ascii="Times New Roman" w:hAnsi="Times New Roman"/>
      <w:sz w:val="28"/>
    </w:rPr>
  </w:style>
  <w:style w:styleId="Style_27" w:type="paragraph">
    <w:name w:val="Обычный1"/>
    <w:link w:val="Style_27_ch"/>
  </w:style>
  <w:style w:styleId="Style_27_ch" w:type="character">
    <w:name w:val="Обычный1"/>
    <w:link w:val="Style_27"/>
  </w:style>
  <w:style w:styleId="Style_28" w:type="paragraph">
    <w:name w:val="toc 5"/>
    <w:next w:val="Style_3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3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3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3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er"/>
    <w:basedOn w:val="Style_3"/>
    <w:link w:val="Style_3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2_ch" w:type="character">
    <w:name w:val="header"/>
    <w:basedOn w:val="Style_3_ch"/>
    <w:link w:val="Style_32"/>
  </w:style>
  <w:style w:styleId="Style_33" w:type="paragraph">
    <w:name w:val="heading 2"/>
    <w:next w:val="Style_3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2023-07-11T23:20:13Z</dcterms:modified>
</cp:coreProperties>
</file>