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3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A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0B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1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C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0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0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142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 памятнике природы регионального значения </w:t>
            </w:r>
          </w:p>
          <w:p w14:paraId="11000000">
            <w:pPr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«Мыс Витгенштейна»</w:t>
            </w:r>
          </w:p>
        </w:tc>
      </w:tr>
    </w:tbl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3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</w:t>
      </w:r>
      <w:r>
        <w:rPr>
          <w:rFonts w:ascii="Times New Roman" w:hAnsi="Times New Roman"/>
          <w:sz w:val="28"/>
        </w:rPr>
        <w:t>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</w:t>
      </w:r>
      <w:r>
        <w:rPr>
          <w:rFonts w:ascii="Times New Roman" w:hAnsi="Times New Roman"/>
          <w:sz w:val="28"/>
        </w:rPr>
        <w:t>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</w:t>
      </w:r>
      <w:r>
        <w:rPr>
          <w:rFonts w:ascii="Times New Roman" w:hAnsi="Times New Roman"/>
          <w:sz w:val="28"/>
        </w:rPr>
        <w:t>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4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5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6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7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Утвердить:</w:t>
      </w:r>
    </w:p>
    <w:p w14:paraId="18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</w:t>
      </w:r>
      <w:r>
        <w:rPr>
          <w:rFonts w:ascii="Times New Roman" w:hAnsi="Times New Roman"/>
          <w:sz w:val="28"/>
        </w:rPr>
        <w:t>амятнике природы регионального значения «Мыс Витгенштейна» согласно приложению 1 к настоящему постановлению;</w:t>
      </w:r>
    </w:p>
    <w:p w14:paraId="19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«Мыс Витгенштейна» согласно приложению 2 к настоящему постан</w:t>
      </w:r>
      <w:r>
        <w:rPr>
          <w:rFonts w:ascii="Times New Roman" w:hAnsi="Times New Roman"/>
          <w:sz w:val="28"/>
        </w:rPr>
        <w:t>овлению.</w:t>
      </w:r>
    </w:p>
    <w:p w14:paraId="1A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B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1"/>
        <w:tblInd w:type="dxa" w:w="-34"/>
        <w:tblLayout w:type="fixed"/>
        <w:tblCellMar>
          <w:left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left w:type="dxa" w:w="0"/>
              <w:right w:type="dxa" w:w="0"/>
            </w:tcMar>
          </w:tcPr>
          <w:p w14:paraId="1C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  <w:p w14:paraId="1D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left w:type="dxa" w:w="0"/>
              <w:right w:type="dxa" w:w="0"/>
            </w:tcMar>
          </w:tcPr>
          <w:p w14:paraId="1E000000">
            <w:pPr>
              <w:spacing w:after="0" w:line="240" w:lineRule="auto"/>
              <w:ind w:hanging="3" w:left="3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  <w:bookmarkEnd w:id="2"/>
          </w:p>
          <w:p w14:paraId="1F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left w:type="dxa" w:w="0"/>
              <w:right w:type="dxa" w:w="0"/>
            </w:tcMar>
          </w:tcPr>
          <w:p w14:paraId="20000000">
            <w:pPr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14:paraId="21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</w:tc>
      </w:tr>
    </w:tbl>
    <w:p w14:paraId="22000000"/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3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7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8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9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A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B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C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D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2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0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1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2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3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34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EGNUMSTAMP]</w:t>
            </w:r>
          </w:p>
        </w:tc>
      </w:tr>
    </w:tbl>
    <w:p w14:paraId="3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Мыс Витгенштейна</w:t>
      </w:r>
      <w:r>
        <w:rPr>
          <w:rFonts w:ascii="Times New Roman" w:hAnsi="Times New Roman"/>
          <w:sz w:val="28"/>
        </w:rPr>
        <w:t xml:space="preserve">» </w:t>
      </w:r>
    </w:p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A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B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C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Настоящее положение регулирует вопросы охраны и использования памятника природы регионального значения «Мыс </w:t>
      </w:r>
      <w:r>
        <w:rPr>
          <w:rFonts w:ascii="Times New Roman" w:hAnsi="Times New Roman"/>
          <w:sz w:val="28"/>
        </w:rPr>
        <w:t>Витгенштейна» (далее – Памятник природы).</w:t>
      </w:r>
    </w:p>
    <w:p w14:paraId="3D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3E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3F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 xml:space="preserve"> сохранение в естественном состоянии ценного в экологическом, научном, рекреационном и эстетическом отношениях уникального природного комплекса, представленного скалистыми участками круто обрывающихся в Берингово море склонов пика Витгенштейна (отметка 810</w:t>
      </w:r>
      <w:r>
        <w:rPr>
          <w:rFonts w:ascii="Times New Roman" w:hAnsi="Times New Roman"/>
          <w:sz w:val="28"/>
        </w:rPr>
        <w:t>,5 м), являющегося частью Олюторского хребта Корякского нагорья, участком восточного побережья бухты Амаян с высокими обрывистыми склонами, каменистым пляжем и кекурами, обрывистыми мысом Неприступный и мысом Витгенштейна с узким каменистым пляжем и кекура</w:t>
      </w:r>
      <w:r>
        <w:rPr>
          <w:rFonts w:ascii="Times New Roman" w:hAnsi="Times New Roman"/>
          <w:sz w:val="28"/>
        </w:rPr>
        <w:t>ми в его западном части, участком морского побережья шириной 200–350 м бухты Кекурная с невысоким склонами и узким песчаным пляжем в ее северо-западной части, протянувшегося от мыса Витгенштейна до мыса Цепочка, включающего три больших конусообразных скали</w:t>
      </w:r>
      <w:r>
        <w:rPr>
          <w:rFonts w:ascii="Times New Roman" w:hAnsi="Times New Roman"/>
          <w:sz w:val="28"/>
        </w:rPr>
        <w:t>стых кекура (максимальная отметка ближайшего к берегу – 171,0 м), многочисленные мелкие кекуры и камни, расположенные вплотную друг к другу и соединенные с материком узким и обрывистым перешейком, как среды обитания морских млекопитающих и морских колониал</w:t>
      </w:r>
      <w:r>
        <w:rPr>
          <w:rFonts w:ascii="Times New Roman" w:hAnsi="Times New Roman"/>
          <w:sz w:val="28"/>
        </w:rPr>
        <w:t xml:space="preserve">ьных птиц;  </w:t>
      </w:r>
    </w:p>
    <w:p w14:paraId="40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охрана редких видов животных, растений и грибов, занесенных в Красную книгу Камчатского края и Красную книгу Российской Федерации, таких как сивуч </w:t>
      </w:r>
      <w:r>
        <w:rPr>
          <w:rFonts w:ascii="Times New Roman" w:hAnsi="Times New Roman"/>
          <w:i w:val="1"/>
          <w:sz w:val="28"/>
        </w:rPr>
        <w:t>Eumetopias jubtus</w:t>
      </w:r>
      <w:r>
        <w:rPr>
          <w:rFonts w:ascii="Times New Roman" w:hAnsi="Times New Roman"/>
          <w:sz w:val="28"/>
        </w:rPr>
        <w:t xml:space="preserve">, белая сова </w:t>
      </w:r>
      <w:r>
        <w:rPr>
          <w:rFonts w:ascii="Times New Roman" w:hAnsi="Times New Roman"/>
          <w:i w:val="1"/>
          <w:sz w:val="28"/>
        </w:rPr>
        <w:t>Nyctea scandiaca</w:t>
      </w:r>
      <w:r>
        <w:rPr>
          <w:rFonts w:ascii="Times New Roman" w:hAnsi="Times New Roman"/>
          <w:sz w:val="28"/>
        </w:rPr>
        <w:t xml:space="preserve">, орлан-белохвост </w:t>
      </w:r>
      <w:r>
        <w:rPr>
          <w:rFonts w:ascii="Times New Roman" w:hAnsi="Times New Roman"/>
          <w:i w:val="1"/>
          <w:sz w:val="28"/>
        </w:rPr>
        <w:t>Haliaeetus albicilla</w:t>
      </w:r>
      <w:r>
        <w:rPr>
          <w:rFonts w:ascii="Times New Roman" w:hAnsi="Times New Roman"/>
          <w:sz w:val="28"/>
        </w:rPr>
        <w:t xml:space="preserve">, сапсан </w:t>
      </w:r>
      <w:r>
        <w:rPr>
          <w:rFonts w:ascii="Times New Roman" w:hAnsi="Times New Roman"/>
          <w:i w:val="1"/>
          <w:sz w:val="28"/>
        </w:rPr>
        <w:t>Falco peregrinus harterti</w:t>
      </w:r>
      <w:r>
        <w:rPr>
          <w:rFonts w:ascii="Times New Roman" w:hAnsi="Times New Roman"/>
          <w:sz w:val="28"/>
        </w:rPr>
        <w:t>, сохранение среды их обитания;</w:t>
      </w:r>
    </w:p>
    <w:p w14:paraId="41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охраны лежбищ и залежек морских млекопитающих, прежде всего, одного из самых северных лежбищ сивуча </w:t>
      </w:r>
      <w:r>
        <w:rPr>
          <w:rFonts w:ascii="Times New Roman" w:hAnsi="Times New Roman"/>
          <w:i w:val="1"/>
          <w:sz w:val="28"/>
        </w:rPr>
        <w:t>Eumetopias jubtus</w:t>
      </w:r>
      <w:r>
        <w:rPr>
          <w:rFonts w:ascii="Times New Roman" w:hAnsi="Times New Roman"/>
          <w:sz w:val="28"/>
        </w:rPr>
        <w:t xml:space="preserve">, а также ларги </w:t>
      </w:r>
      <w:r>
        <w:rPr>
          <w:rFonts w:ascii="Times New Roman" w:hAnsi="Times New Roman"/>
          <w:i w:val="1"/>
          <w:sz w:val="28"/>
        </w:rPr>
        <w:t>Phoca larga;</w:t>
      </w:r>
    </w:p>
    <w:p w14:paraId="42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охрана мест гнездования 8 видов морских колониа</w:t>
      </w:r>
      <w:r>
        <w:rPr>
          <w:rFonts w:ascii="Times New Roman" w:hAnsi="Times New Roman"/>
          <w:sz w:val="28"/>
        </w:rPr>
        <w:t>льных птиц, общая численность которых превышает 9,0 тыс. пар, образующих «птичьи базары»;</w:t>
      </w:r>
    </w:p>
    <w:p w14:paraId="43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минимизация негативного воздействия на естественные экологические системы прибрежной части Берингова моря при осуществлении туризма;</w:t>
      </w:r>
    </w:p>
    <w:p w14:paraId="44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научных </w:t>
      </w:r>
      <w:r>
        <w:rPr>
          <w:rFonts w:ascii="Times New Roman" w:hAnsi="Times New Roman"/>
          <w:sz w:val="28"/>
        </w:rPr>
        <w:t>исследований;</w:t>
      </w:r>
    </w:p>
    <w:p w14:paraId="45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государственный экологический мониторинг (государственный мониторинг окружающей среды);</w:t>
      </w:r>
    </w:p>
    <w:p w14:paraId="46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экологическое просвещение населения.</w:t>
      </w:r>
    </w:p>
    <w:p w14:paraId="47000000">
      <w:p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</w:t>
      </w:r>
      <w:r>
        <w:rPr>
          <w:rFonts w:ascii="Times New Roman" w:hAnsi="Times New Roman"/>
          <w:sz w:val="28"/>
        </w:rPr>
        <w:t>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14:paraId="48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Памятник природы создан </w:t>
      </w:r>
      <w:r>
        <w:rPr>
          <w:rFonts w:ascii="Times New Roman" w:hAnsi="Times New Roman"/>
          <w:sz w:val="28"/>
        </w:rPr>
        <w:t>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9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318,21 га. </w:t>
      </w:r>
    </w:p>
    <w:p w14:paraId="4A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Природные ресурсы, расположенные в границах </w:t>
      </w:r>
      <w:r>
        <w:rPr>
          <w:rFonts w:ascii="Times New Roman" w:hAnsi="Times New Roman"/>
          <w:sz w:val="28"/>
        </w:rPr>
        <w:t>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B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</w:t>
      </w:r>
      <w:r>
        <w:rPr>
          <w:rFonts w:ascii="Times New Roman" w:hAnsi="Times New Roman"/>
          <w:color w:themeColor="text1" w:val="000000"/>
          <w:sz w:val="28"/>
        </w:rPr>
        <w:t>ением случаев, предусмотренных федеральными законами.</w:t>
      </w:r>
    </w:p>
    <w:p w14:paraId="4C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</w:t>
      </w:r>
      <w:r>
        <w:rPr>
          <w:rFonts w:ascii="Times New Roman" w:hAnsi="Times New Roman"/>
          <w:color w:themeColor="text1" w:val="000000"/>
          <w:sz w:val="28"/>
        </w:rPr>
        <w:t xml:space="preserve">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</w:t>
      </w:r>
      <w:r>
        <w:rPr>
          <w:rFonts w:ascii="Times New Roman" w:hAnsi="Times New Roman"/>
          <w:sz w:val="28"/>
        </w:rPr>
        <w:t>ми функциями.</w:t>
      </w:r>
    </w:p>
    <w:p w14:paraId="4D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4E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</w:t>
      </w:r>
      <w:r>
        <w:rPr>
          <w:rFonts w:ascii="Times New Roman" w:hAnsi="Times New Roman"/>
          <w:color w:themeColor="text1" w:val="000000"/>
          <w:sz w:val="28"/>
        </w:rPr>
        <w:t>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</w:t>
      </w:r>
      <w:r>
        <w:rPr>
          <w:rFonts w:ascii="Times New Roman" w:hAnsi="Times New Roman"/>
          <w:color w:themeColor="text1" w:val="000000"/>
          <w:sz w:val="28"/>
        </w:rPr>
        <w:t>троительства запрещены пунктами 1 и 2 части 19 настоящего Положения.</w:t>
      </w:r>
    </w:p>
    <w:p w14:paraId="4F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</w:t>
      </w:r>
      <w:r>
        <w:rPr>
          <w:rFonts w:ascii="Times New Roman" w:hAnsi="Times New Roman"/>
          <w:color w:themeColor="text1" w:val="000000"/>
          <w:sz w:val="28"/>
        </w:rPr>
        <w:t>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</w:t>
      </w:r>
      <w:r>
        <w:rPr>
          <w:rFonts w:ascii="Times New Roman" w:hAnsi="Times New Roman"/>
          <w:color w:themeColor="text1" w:val="000000"/>
          <w:sz w:val="28"/>
        </w:rPr>
        <w:t xml:space="preserve">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>На территории Памятника природы экономическая и иная деятельность осуществляет</w:t>
      </w:r>
      <w:r>
        <w:rPr>
          <w:rFonts w:ascii="Times New Roman" w:hAnsi="Times New Roman"/>
          <w:sz w:val="28"/>
        </w:rPr>
        <w:t>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</w:t>
      </w:r>
      <w:r>
        <w:rPr>
          <w:rFonts w:ascii="Times New Roman" w:hAnsi="Times New Roman"/>
          <w:sz w:val="28"/>
        </w:rPr>
        <w:t xml:space="preserve">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 Охрана Памятника приро</w:t>
      </w:r>
      <w:r>
        <w:rPr>
          <w:rFonts w:ascii="Times New Roman" w:hAnsi="Times New Roman"/>
          <w:sz w:val="28"/>
        </w:rPr>
        <w:t xml:space="preserve">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15. Посещение территории Памятника природы осуществляется по ра</w:t>
      </w:r>
      <w:r>
        <w:rPr>
          <w:rFonts w:ascii="Times New Roman" w:hAnsi="Times New Roman"/>
          <w:sz w:val="28"/>
        </w:rPr>
        <w:t xml:space="preserve">зрешениям, выдаваемым Учреждением.   </w:t>
      </w:r>
    </w:p>
    <w:p w14:paraId="5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</w:t>
      </w:r>
      <w:r>
        <w:rPr>
          <w:rFonts w:ascii="Times New Roman" w:hAnsi="Times New Roman"/>
          <w:sz w:val="28"/>
        </w:rPr>
        <w:t xml:space="preserve">. </w:t>
      </w:r>
    </w:p>
    <w:p w14:paraId="5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5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  <w:highlight w:val="yellow"/>
        </w:rPr>
      </w:pPr>
    </w:p>
    <w:p w14:paraId="57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Олюторском муниципальном районе Камчатского края, в северо-западной части Берингова моря, включает участок побережья Берингова моря от юго-восточной части </w:t>
      </w:r>
      <w:r>
        <w:rPr>
          <w:rFonts w:ascii="Times New Roman" w:hAnsi="Times New Roman"/>
          <w:sz w:val="28"/>
        </w:rPr>
        <w:t xml:space="preserve">бухты Амаян, через мысы Неприступный и Витгенштейна до мыса Цепочка. </w:t>
      </w:r>
    </w:p>
    <w:p w14:paraId="5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Граница Памятника природы проходит по береговой линии Берингова моря в период максимального отлива, оконтуривая безымянные островки, кекуры, участки обнажающихся в отлив подводных ск</w:t>
      </w:r>
      <w:r>
        <w:rPr>
          <w:rFonts w:ascii="Times New Roman" w:hAnsi="Times New Roman"/>
          <w:sz w:val="28"/>
        </w:rPr>
        <w:t xml:space="preserve">ал и камней, а также на расстоянии в 200–350 м от береговой линии моря по горным отрогам: </w:t>
      </w:r>
    </w:p>
    <w:p w14:paraId="5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северная и северо-восточная граница: от характерной точки 33 с географическими координатами 60 градусов 50 минут 34.0 секунды северной широты и 172 градуса 2 мину</w:t>
      </w:r>
      <w:r>
        <w:rPr>
          <w:rFonts w:ascii="Times New Roman" w:hAnsi="Times New Roman"/>
          <w:sz w:val="28"/>
        </w:rPr>
        <w:t xml:space="preserve">ты 17.0 секунд восточной долготы, расположенной на береговой линии юго-восточного побережья бухты Амаян, проходит прямой линией в восточном направлении на протяжении 1058,4 м до характерной точки 32 с географическими координатами 60 градусов 50 минут 36.9 </w:t>
      </w:r>
      <w:r>
        <w:rPr>
          <w:rFonts w:ascii="Times New Roman" w:hAnsi="Times New Roman"/>
          <w:sz w:val="28"/>
        </w:rPr>
        <w:t>секунды северной широты и 172 градуса 3 минуты 27.0 секунд восточной долготы, соответствующей вершине горы пик Витгенштейна (отметка 889,0 м); далее от характерной точки 32 прямой линией в северо-северо-восточном направлении на протяжении 1332,8 м до харак</w:t>
      </w:r>
      <w:r>
        <w:rPr>
          <w:rFonts w:ascii="Times New Roman" w:hAnsi="Times New Roman"/>
          <w:sz w:val="28"/>
        </w:rPr>
        <w:t>терной точки 31 с географическими координатами 60 градусов 51 минута 20.0 секунды северной широты и 172 градуса 3 минуты 28.0 секунд восточной долготы, расположенной на расстоянии 689,5 м по прямой к западу от береговой линии бухты Кекурная; далее от харак</w:t>
      </w:r>
      <w:r>
        <w:rPr>
          <w:rFonts w:ascii="Times New Roman" w:hAnsi="Times New Roman"/>
          <w:sz w:val="28"/>
        </w:rPr>
        <w:t xml:space="preserve">терной точки 31 прямой линией на протяжении 905,9 м до характерной точки 30 с географическими координатами 60 градусов 51 минута 37.0 секунд северной широты и 172 градуса 4 минуты 17.0 секунд восточной долготы, расположенной </w:t>
      </w:r>
      <w:r>
        <w:rPr>
          <w:rFonts w:ascii="Times New Roman" w:hAnsi="Times New Roman"/>
          <w:sz w:val="28"/>
        </w:rPr>
        <w:t>на правом берегу безымянного ру</w:t>
      </w:r>
      <w:r>
        <w:rPr>
          <w:rFonts w:ascii="Times New Roman" w:hAnsi="Times New Roman"/>
          <w:sz w:val="28"/>
        </w:rPr>
        <w:t>чья, в 150,2 м на северо-северо-восток от места его впадения в бухту Кекурная; далее от характерной точки 30 в общем северо-восточном направлении на расстоянии 200,0 м от береговой линии бухты Кекурная на протяжении 1581,9 м через характерные точки 29–16 д</w:t>
      </w:r>
      <w:r>
        <w:rPr>
          <w:rFonts w:ascii="Times New Roman" w:hAnsi="Times New Roman"/>
          <w:sz w:val="28"/>
        </w:rPr>
        <w:t>о характерной точки 15 с географическими координатами 60 градусов 51 минута 59.0 секунд северной широты и 172 градуса 5 минут 47.0 секунд восточной долготы, расположенной на восточном берегу перешейка, соединяющего мыс Цепочка с материковой частью;</w:t>
      </w:r>
    </w:p>
    <w:p w14:paraId="5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вост</w:t>
      </w:r>
      <w:r>
        <w:rPr>
          <w:rFonts w:ascii="Times New Roman" w:hAnsi="Times New Roman"/>
          <w:sz w:val="28"/>
        </w:rPr>
        <w:t xml:space="preserve">очная граница: от характерной точки 15 по береговой линии перешейка, мыс Цепочка, по береговой линии бухты Кекурная на протяжении 6913,6 м через характерные точки 14–1, 149–72 до характерной точки 71 с географическими координатами 60 градусов 50 минут 8.4 </w:t>
      </w:r>
      <w:r>
        <w:rPr>
          <w:rFonts w:ascii="Times New Roman" w:hAnsi="Times New Roman"/>
          <w:sz w:val="28"/>
        </w:rPr>
        <w:t>секунды северной широты и 172 градуса 4 минуты 3.2 секунды восточной долготы, расположенной на береговой линии мыса Витгенштейна;</w:t>
      </w:r>
    </w:p>
    <w:p w14:paraId="5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южная граница: от характерной точки 71 в общем западном направлении на протяжении 1614,9 м вдоль береговой линии Берингова </w:t>
      </w:r>
      <w:r>
        <w:rPr>
          <w:rFonts w:ascii="Times New Roman" w:hAnsi="Times New Roman"/>
          <w:sz w:val="28"/>
        </w:rPr>
        <w:t>моря через характерные точки 70–41 до характерной точки 40 с географическими координатами 60 градусов 50 минут 15.0 секунд северной широты и 172 градуса 2 минуты 28.2 секунды восточной долготы, расположенной на береговой линии мыса Неприступный;</w:t>
      </w:r>
    </w:p>
    <w:p w14:paraId="5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западна</w:t>
      </w:r>
      <w:r>
        <w:rPr>
          <w:rFonts w:ascii="Times New Roman" w:hAnsi="Times New Roman"/>
          <w:sz w:val="28"/>
        </w:rPr>
        <w:t>я граница: от характерной точки 40 в северном направлении юго-восточного побережья бухты Амаян на протяжении 634,8 м через характерные точки 39–34 до характерной точки 33, где и замыкается.</w:t>
      </w:r>
    </w:p>
    <w:p w14:paraId="5D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</w:t>
      </w:r>
      <w:r>
        <w:rPr>
          <w:rFonts w:ascii="Times New Roman" w:hAnsi="Times New Roman"/>
          <w:sz w:val="28"/>
        </w:rPr>
        <w:t>ды</w:t>
      </w:r>
    </w:p>
    <w:p w14:paraId="5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60000000">
      <w:pPr>
        <w:tabs>
          <w:tab w:leader="none" w:pos="1134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1000000">
      <w:pPr>
        <w:tabs>
          <w:tab w:leader="none" w:pos="0" w:val="left"/>
          <w:tab w:leader="none" w:pos="1134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2000000">
      <w:pPr>
        <w:tabs>
          <w:tab w:leader="none" w:pos="0" w:val="left"/>
          <w:tab w:leader="none" w:pos="1134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 капитального строительства;</w:t>
      </w:r>
    </w:p>
    <w:p w14:paraId="63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</w:t>
      </w:r>
      <w:r>
        <w:rPr>
          <w:rFonts w:ascii="Times New Roman" w:hAnsi="Times New Roman"/>
          <w:sz w:val="28"/>
        </w:rPr>
        <w:t>ние некапитальных строений и сооружений;</w:t>
      </w:r>
    </w:p>
    <w:p w14:paraId="64000000">
      <w:pPr>
        <w:tabs>
          <w:tab w:leader="none" w:pos="0" w:val="left"/>
          <w:tab w:leader="none" w:pos="1134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</w:t>
      </w:r>
      <w:r>
        <w:rPr>
          <w:rFonts w:ascii="Times New Roman" w:hAnsi="Times New Roman"/>
          <w:sz w:val="28"/>
        </w:rPr>
        <w:t>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5000000">
      <w:pPr>
        <w:tabs>
          <w:tab w:leader="none" w:pos="0" w:val="left"/>
          <w:tab w:leader="none" w:pos="1134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</w:t>
      </w:r>
      <w:r>
        <w:rPr>
          <w:rFonts w:ascii="Times New Roman" w:hAnsi="Times New Roman"/>
          <w:sz w:val="28"/>
        </w:rPr>
        <w:t>гическому изучению недр, разработка месторождений полезных ископаемых;</w:t>
      </w:r>
    </w:p>
    <w:p w14:paraId="66000000">
      <w:pPr>
        <w:tabs>
          <w:tab w:leader="none" w:pos="993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7000000">
      <w:pPr>
        <w:tabs>
          <w:tab w:leader="none" w:pos="993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8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9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>) деятельность, ведущая к усилению фактора беспокойства охраняемых объектов животного мира, в том числе:</w:t>
      </w:r>
    </w:p>
    <w:p w14:paraId="6A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мысами и морским побережьем , посадка и стоянка вертолетов, за исключением случаев вып</w:t>
      </w:r>
      <w:r>
        <w:rPr>
          <w:rFonts w:ascii="Times New Roman" w:hAnsi="Times New Roman"/>
          <w:sz w:val="28"/>
        </w:rPr>
        <w:t>олнения мероприятий по ликвидации и предупреждению чрезвычайных ситуаций, осуществления природоохранных мероприятий;</w:t>
      </w:r>
    </w:p>
    <w:p w14:paraId="6B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</w:t>
      </w:r>
      <w:r>
        <w:rPr>
          <w:rFonts w:ascii="Times New Roman" w:hAnsi="Times New Roman"/>
          <w:sz w:val="28"/>
        </w:rPr>
        <w:t xml:space="preserve"> средствах к лежбищам и залежкам морских млекопитающих, местам гнездования морских колониальных птиц на расстояние менее 150 м;</w:t>
      </w:r>
    </w:p>
    <w:p w14:paraId="6C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6D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9) деятельность, ведущая к нарушению правил пожарной безопасности в лесах, в том числе </w:t>
      </w:r>
      <w:r>
        <w:rPr>
          <w:rFonts w:ascii="Times New Roman" w:hAnsi="Times New Roman"/>
          <w:sz w:val="28"/>
        </w:rPr>
        <w:t>разведение огня, выжигание растительности;</w:t>
      </w:r>
    </w:p>
    <w:p w14:paraId="6E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накопление, размещение, захоронение, сжигание отходов производства и потребления;</w:t>
      </w:r>
    </w:p>
    <w:p w14:paraId="6F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порча и загрязнение земель, в том числе в результате складирования горюче-смазочных материалов, размещения радиоактивных, х</w:t>
      </w:r>
      <w:r>
        <w:rPr>
          <w:rFonts w:ascii="Times New Roman" w:hAnsi="Times New Roman"/>
          <w:sz w:val="28"/>
        </w:rPr>
        <w:t>имических, взрывчатых, токсичных, отравляющих и ядовитых веществ;</w:t>
      </w:r>
    </w:p>
    <w:p w14:paraId="70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12) деятельность, ведущая к загрязнению прилегающей морской акватории; </w:t>
      </w:r>
    </w:p>
    <w:p w14:paraId="71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интродукция живых организмов; </w:t>
      </w:r>
    </w:p>
    <w:p w14:paraId="72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все виды охоты и рыболовства, сбор яиц морских колониальных птиц, добыча морски</w:t>
      </w:r>
      <w:r>
        <w:rPr>
          <w:rFonts w:ascii="Times New Roman" w:hAnsi="Times New Roman"/>
          <w:sz w:val="28"/>
        </w:rPr>
        <w:t>х млекопитающих, за исключением случаев, предусмотренных пунктом 1 части 20 настоящего Положения;</w:t>
      </w:r>
    </w:p>
    <w:p w14:paraId="73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15) осуществление туризма вне специально оборудованных для этого местах и маршрутах ; </w:t>
      </w:r>
    </w:p>
    <w:p w14:paraId="74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сбор минералогических, палеонтологических и других геологических ко</w:t>
      </w:r>
      <w:r>
        <w:rPr>
          <w:rFonts w:ascii="Times New Roman" w:hAnsi="Times New Roman"/>
          <w:sz w:val="28"/>
        </w:rPr>
        <w:t>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5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17) уничтожение или повреждение аншлагов и других информационных знаков и указателей, нанесение на скалы, информационные знаки </w:t>
      </w:r>
      <w:r>
        <w:rPr>
          <w:rFonts w:ascii="Times New Roman" w:hAnsi="Times New Roman"/>
          <w:sz w:val="28"/>
        </w:rPr>
        <w:t>и указатели самовольных надписей.</w:t>
      </w:r>
    </w:p>
    <w:p w14:paraId="76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7000000">
      <w:pPr>
        <w:tabs>
          <w:tab w:leader="none" w:pos="1134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</w:t>
      </w:r>
      <w:r>
        <w:rPr>
          <w:rFonts w:ascii="Times New Roman" w:hAnsi="Times New Roman"/>
          <w:sz w:val="28"/>
        </w:rPr>
        <w:t>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8000000">
      <w:pPr>
        <w:tabs>
          <w:tab w:leader="none" w:pos="1134" w:val="left"/>
        </w:tabs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</w:t>
      </w:r>
      <w:r>
        <w:rPr>
          <w:rFonts w:ascii="Times New Roman" w:hAnsi="Times New Roman"/>
          <w:sz w:val="28"/>
        </w:rPr>
        <w:t>ниторинга окружающей среды);</w:t>
      </w:r>
    </w:p>
    <w:p w14:paraId="79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</w:t>
      </w:r>
      <w:r>
        <w:rPr>
          <w:rFonts w:ascii="Times New Roman" w:hAnsi="Times New Roman"/>
          <w:sz w:val="28"/>
        </w:rPr>
        <w:t>ектов животного и растительного мира, нуждающихся в особых мерах охраны;</w:t>
      </w:r>
    </w:p>
    <w:p w14:paraId="7A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соблюдении требований, предусмотренных частью 19 Положения);</w:t>
      </w:r>
    </w:p>
    <w:p w14:paraId="7B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C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7D000000">
      <w:pPr>
        <w:spacing w:after="0" w:line="228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2"/>
        <w:tblLayout w:type="fixed"/>
      </w:tblPr>
      <w:tblGrid>
        <w:gridCol w:w="480"/>
        <w:gridCol w:w="480"/>
        <w:gridCol w:w="480"/>
        <w:gridCol w:w="3661"/>
        <w:gridCol w:w="480"/>
        <w:gridCol w:w="1869"/>
        <w:gridCol w:w="486"/>
        <w:gridCol w:w="1701"/>
      </w:tblGrid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E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7F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0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1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2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3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4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5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6000000">
            <w:pPr>
              <w:widowControl w:val="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6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7000000">
            <w:pPr>
              <w:widowControl w:val="0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Правительства Камчатского </w:t>
            </w:r>
            <w:r>
              <w:rPr>
                <w:rFonts w:ascii="Times New Roman" w:hAnsi="Times New Roman"/>
                <w:sz w:val="28"/>
              </w:rPr>
              <w:t>края</w:t>
            </w:r>
          </w:p>
        </w:tc>
      </w:tr>
      <w:tr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8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9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A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B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C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D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E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8F000000">
            <w:pPr>
              <w:spacing w:after="60"/>
              <w:ind w:hanging="8079" w:left="8079"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EGNUMSTAMP]</w:t>
            </w:r>
          </w:p>
        </w:tc>
      </w:tr>
    </w:tbl>
    <w:p w14:paraId="9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2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«Мыс Витгенштейна» (далее – Памятник природы)</w:t>
      </w:r>
    </w:p>
    <w:p w14:paraId="9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7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1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4140"/>
        <w:gridCol w:w="5066"/>
      </w:tblGrid>
      <w:tr>
        <w:trPr>
          <w:trHeight w:hRule="atLeast" w:val="41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Камчатский край, Олюторский муниципальный район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3182138 +/- 15609 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</w:t>
            </w:r>
            <w:r>
              <w:rPr>
                <w:rFonts w:ascii="Times New Roman" w:hAnsi="Times New Roman"/>
                <w:sz w:val="24"/>
              </w:rPr>
              <w:t xml:space="preserve"> местах расположения ценных природных комплексов на территории Камчатской области»</w:t>
            </w:r>
          </w:p>
        </w:tc>
      </w:tr>
    </w:tbl>
    <w:p w14:paraId="A7000000">
      <w:pPr>
        <w:spacing w:after="0"/>
        <w:ind/>
        <w:jc w:val="center"/>
      </w:pPr>
    </w:p>
    <w:p w14:paraId="A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A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0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B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B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1434524.26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3489029.43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60°51'35.1''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172°6'25.7''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1434578.30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3489015.24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60°51'36.8''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172°6'24.8''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1434609.51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3488979.18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60°51'37.9''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172°6'22.5''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1434646.25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3488910.90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60°51'39.1''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172°6'18.0''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1434685.97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3488836.13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60°51'40.5''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1434710.87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3488806.64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60°51'41.3''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172°6'11.2''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1434781.55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3488811.29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60°51'43.6''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172°6'11.7''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1434835.91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3488809.94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60°51'45.3''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172°6'11.7''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1434877.50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3488805.69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60°51'46.7''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172°6'11.5''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1434914.49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3488747.04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60°51'47.9''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172°6'7.6''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1434947.30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3488650.00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60°51'49.1''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1434999.30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3488549.28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60°51'50.8''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172°5'54.7''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1435061.92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3488489.99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60°51'52.9''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1435137.65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3488446.41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60°51'55.4''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172°5'48.1''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1435249.64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3488427.11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60°51'59.0''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172°5'47.0''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1435233.80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3488354.72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172°5'42.2''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1435228.36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3488288.37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60°51'58.4''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172°5'37.8''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1435232.53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3488195.97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60°51'58.6''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172°5'31.7''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1435227.14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3488117.56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172°5'26.5''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1435213.60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3488025.60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60°51'58.2''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172°5'20.3''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1435185.36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3487933.73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60°51'57.3''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172°5'14.2''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1435159.71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3487852.28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60°51'56.6''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172°5'8.8''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1435119.54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3487782.72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60°51'55.3''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172°5'4.11''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1435080.93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3487695.39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60°51'54.1''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172°4'58.3''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1435026.64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3487618.18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60°51'52.4''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172°4'53.1''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1434967.38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3487552.29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60°51'50.6''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172°4'48.6''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1434881.66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3487461.49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60°51'47.9''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172°4'42.4''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1434759.98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3487336.08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60°51'44.1''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172°4'33.9''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1434641.60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3487213.78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60°51'40.3''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1434535.36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3487085.69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60°51'37.0''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172°4'17.0''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1433991.28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3486358.91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60°51'20.0''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172°3'28.0''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1432660.20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3486376.08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60°50'36.9''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172°3'27.0''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1432541.91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3485321.28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60°50'34.0''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172°2'17.0''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1432466.80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3485345.11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60°50'31.6''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172°2'18.5''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1432358.27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3485360.55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60°50'28.0''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172°2'19.3''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1432262.38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3485369.27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60°50'24.9''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172°2'19.7''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1432169.70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3485381.12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60°50'21.9''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172°2'20.4''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1432086.88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3485399.15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60°50'19.2''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172°2'21.4''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1432017.62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3485448.95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60°50'16.9''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172°2'24.6''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1431958.10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3485504.95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60°50'15.0''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172°2'28.2''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1431927.40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3485563.47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172°2'32.1''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1431903.63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3485641.08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172°2'37.2''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1431908.17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3485695.53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172°2'40.8''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1431925.06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3485730.44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172°2'43.1''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1431938.58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3485759.00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60°50'14.2''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172°2'45.0''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1431929.80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3485797.73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172°2'47.6''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1431899.07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3485849.83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60°50'12.8''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172°2'50.9''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1431890.58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3485894.98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60°50'12.5''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172°2'53.9''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1431905.01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3485962.03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60°50'12.9''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172°2'58.4''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1431921.71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3485993.73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172°3'0.5''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1431934.83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3486006.25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172°3'1.4''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1431923.26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3486057.89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172°3'4.8''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1431911.69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3486109.47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172°3'8.2''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1431890.39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3486154.93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60°50'12.3''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172°3'11.1''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1431875.77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3486209.85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60°50'11.8''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172°3'14.7''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1431870.47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3486258.13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60°50'11.6''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172°3'17.9''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1431858.68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3486300.15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60°50'11.2''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172°3'20.7''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1431840.36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3486335.90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60°50'10.5''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172°3'23.0''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1431809.45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3486384.80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60°50'9.5''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172°3'26.2''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1431813.69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3486426.43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60°50'9.6''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172°3'28.9''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1431830.59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3486461.32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60°50'10.1''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172°3'31.3''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1431863.97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3486518.30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60°50'11.2''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172°3'35.1''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1431881.56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3486582.07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60°50'11.7''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172°3'39.4''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1431879.35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3486623.85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60°50'11.6''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172°3'42.1''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1431839.01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3486679.40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60°50'10.2''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172°3'45.8''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1431795.08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3486715.78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60°50'8.8''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172°3'48.1''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1431764.13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3486758.26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60°50'7.8''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172°3'50.9''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1431758.37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3486787.30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60°50'7.6''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172°3'52.8''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1431772.90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3486857.57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60°50'7.9''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172°3'57.4''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1431789.80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3486892.46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172°3'59.8''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1431787.82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3486943.87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60°50'8.4''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1431779.42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3486992.23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60°50'8.1''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172°4'6.4''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1431777.52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3487046.85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60°50'7.9''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172°4'9.9''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1431791.43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3487091.45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60°50'8.4''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1431823.91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3487106.70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60°50'9.4''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172°4'14.0''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1431878.43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3487111.79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60°50'11.2''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172°4'14.4''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1431901.06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3487120.87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60°50'11.9''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172°4'15.1''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1431930.85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3487158.66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60°50'12.8''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172°4'17.6''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1431931.95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3487203.58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60°50'12.8''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172°4'20.6''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1431948.86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3487238.47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60°50'13.3''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1431997.11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3487246.92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60°50'14.9''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1432032.08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3487236.43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60°50'16.0''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172°4'22.8''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1432064.05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3487235.65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60°50'17.1''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1432147.77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3487249.65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60°50'19.8''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1432199.77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3487283.68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60°50'21.4''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1432251.41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3487298.46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60°50'23.1''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172°4'27.4''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1432305.88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3487297.12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60°50'24.8''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172°4'27.4''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1432360.37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3487295.79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60°50'26.6''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172°4'27.3''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1432426.91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3487268.48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60°50'28.8''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1432483.95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3487244.62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60°50'30.6''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172°4'24.2''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1432573.40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3487232.80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60°50'33.5''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1432653.42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3487227.63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60°50'36.1''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172°4'23.3''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1432720.59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3487225.99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60°50'38.3''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172°4'23.3''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1432820.64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3487255.63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60°50'41.5''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172°4'25.5''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1432903.94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3487256.79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60°50'44.2''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1433006.43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3487254.28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60°50'47.5''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1433083.38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3487255.60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60°50'49.9''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172°4'25.8''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1433169.51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3487240.66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60°50'52.8''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172°4'25.0''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1433236.17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3487213.36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60°50'54.9''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172°4'23.3''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1433279.93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3487170.57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60°50'56.4''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172°4'20.6''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1433345.78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3487114.41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60°50'58.6''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172°4'16.9''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1433446.97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3487054.24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60°51'1.9''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1433548.49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3487016.46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1433631.12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3486985.56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60°51'7.9''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172°4'8.9''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1433714.25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3486980.33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60°51'10.6''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172°4'8.7''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1433804.32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3486994.17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60°51'13.5''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172°4'9.8'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1433894.63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3487017.63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60°51'16.4''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172°4'11.5''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1433998.11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3487060.01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60°51'19.7''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172°4'14.4''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1434102.25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3487124.83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60°51'22.9''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172°4'18.9''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1434212.66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3487186.29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60°51'26.5''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172°4'23.2''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1434323.42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3487257.35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60°51'30.0''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172°4'28.0''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1434414.79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3487328.83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60°51'32.9''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8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172°4'32.9''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1434525.32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3487390.27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60°51'36.4''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172°4'37.2''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1434633.29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3487483.85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60°51'39.8''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172°4'43.5''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1434714.94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3487549.20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60°51'42.4''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172°4'47.9''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1434784.35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3487634.09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60°51'44.6''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172°4'53.7''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1434843.62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3487699.99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60°51'46.5''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172°4'58.2''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1434893.40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3487766.12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60°51'48.0''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172°5'2.6''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1434927.19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3487839.05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60°51'49.1''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172°5'7.5''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1434967.36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3487908.62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60°51'50.3''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172°5'12.2''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1434988.03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3487969.04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60°51'50.9''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172°5'16.2''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1435015.87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3488058.16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60°51'51.7''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172°5'22.2''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1435027.48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3488134.85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60°51'52.1''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172°5'27.3''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1435032.34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3488205.29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60°51'52.2''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172°5'31.9''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1435027.98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3488285.58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60°51'51.9''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172°5'37.3''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1435003.94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3488350.32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60°51'51.1''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172°5'41.5''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1434976.44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3488405.52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60°51'50.2''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172°5'45.1''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1434926.95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3488477.31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172°5'49.8''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1434876.90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3488526.67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60°51'46.9''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1434820.02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3488556.95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60°51'45.0''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172°5'54.9''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1434756.29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3488571.36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60°51'42.9''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1434682.81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3488579.61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60°51'40.6''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172°5'56.2''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1434596.04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3488568.94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60°51'37.8''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172°5'55.3''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1434535.45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3488580.07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60°51'35.8''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172°5'55.9''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1434503.80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3488593.69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60°51'34.8''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172°5'56.8''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1434434.16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3488630.71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60°51'32.5''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172°5'59.1''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1434381.07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3488683.36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60°51'30.7''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172°6'2.5''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1434375.33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3488712.37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60°51'30.5''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172°6'4.4''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1434415.11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3488747.59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60°51'31.8''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172°6'6.8''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1434482.01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3488748.20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172°6'6.9''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1434523.96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3488763.19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60°51'35.3''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172°6'8.1''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1434547.39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3488804.31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60°51'36.0''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1434528.87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3488830.43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60°51'35.4''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172°6'12.5''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1434436.36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3488848.78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60°51'32.4''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172°6'13.6''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1434372.34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3488847.17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60°51'30.3''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172°6'13.4''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1434314.63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3488848.61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60°51'28.5''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172°6'13.4''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1434309.40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3488893.66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60°51'28.3</w:t>
            </w:r>
            <w:r>
              <w:rPr>
                <w:rFonts w:ascii="Times New Roman" w:hAnsi="Times New Roman"/>
                <w:sz w:val="24"/>
              </w:rPr>
              <w:t xml:space="preserve">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172°6'16.3''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1434362.17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3488953.29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60°51'29.9''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172°6'20.4''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1434446.75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3489005.71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60°51'32.6''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1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172°6'23.9''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1434524.26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3489029.43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60°51'35.1''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6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172°6'25.7'' </w:t>
            </w:r>
          </w:p>
        </w:tc>
      </w:tr>
    </w:tbl>
    <w:p w14:paraId="B7030000">
      <w:pPr>
        <w:ind/>
        <w:jc w:val="center"/>
        <w:rPr>
          <w:rFonts w:ascii="Times New Roman" w:hAnsi="Times New Roman"/>
          <w:sz w:val="24"/>
        </w:rPr>
      </w:pPr>
    </w:p>
    <w:p w14:paraId="B8030000">
      <w:pPr>
        <w:spacing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sz w:val="28"/>
        </w:rPr>
        <w:t>амятника природы</w:t>
      </w:r>
    </w:p>
    <w:p w14:paraId="B9030000">
      <w:pPr>
        <w:spacing w:after="0" w:line="240" w:lineRule="auto"/>
        <w:ind/>
        <w:jc w:val="center"/>
      </w:pPr>
    </w:p>
    <w:p w14:paraId="BA030000">
      <w:pPr>
        <w:ind/>
        <w:jc w:val="center"/>
      </w:pPr>
      <w:r>
        <w:rPr>
          <w:b w:val="1"/>
          <w:color w:themeColor="text1" w:val="000000"/>
        </w:rPr>
        <w:drawing>
          <wp:inline>
            <wp:extent cx="5961268" cy="726757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1732" l="1869" r="1463" t="1658"/>
                    <a:stretch/>
                  </pic:blipFill>
                  <pic:spPr>
                    <a:xfrm flipH="false" flipV="false" rot="0">
                      <a:ext cx="5961268" cy="72675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77765</wp:posOffset>
            </wp:positionH>
            <wp:positionV relativeFrom="paragraph">
              <wp:posOffset>28368</wp:posOffset>
            </wp:positionV>
            <wp:extent cx="5968513" cy="78797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0095" l="2647" r="3797" t="80792"/>
                    <a:stretch/>
                  </pic:blipFill>
                  <pic:spPr>
                    <a:xfrm flipH="false" flipV="false" rot="0">
                      <a:ext cx="5968513" cy="7879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B03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Условные знаки и обозначения:</w:t>
      </w:r>
    </w:p>
    <w:p w14:paraId="BC030000">
      <w:pPr>
        <w:ind/>
        <w:jc w:val="center"/>
      </w:pPr>
    </w:p>
    <w:p w14:paraId="BD030000">
      <w:pPr>
        <w:ind/>
        <w:jc w:val="center"/>
      </w:pPr>
    </w:p>
    <w:p w14:paraId="BE030000">
      <w:pPr>
        <w:ind/>
        <w:jc w:val="center"/>
      </w:pPr>
    </w:p>
    <w:p w14:paraId="BF030000">
      <w:pPr>
        <w:ind/>
        <w:jc w:val="center"/>
      </w:pPr>
    </w:p>
    <w:p w14:paraId="C003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местоположения Памятника природы</w:t>
      </w:r>
    </w:p>
    <w:p w14:paraId="C1030000">
      <w:pPr>
        <w:ind/>
        <w:jc w:val="center"/>
      </w:pPr>
      <w:r>
        <w:rPr>
          <w:b w:val="1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29275" cy="3409950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9736" l="3481" r="3006" t="10079"/>
                    <a:stretch/>
                  </pic:blipFill>
                  <pic:spPr>
                    <a:xfrm flipH="false" flipV="false" rot="0">
                      <a:ext cx="5629275" cy="34099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2030000"/>
    <w:p w14:paraId="C3030000"/>
    <w:p w14:paraId="C4030000"/>
    <w:p w14:paraId="C5030000"/>
    <w:p w14:paraId="C6030000"/>
    <w:p w14:paraId="C7030000"/>
    <w:p w14:paraId="C8030000"/>
    <w:p w14:paraId="C9030000"/>
    <w:p w14:paraId="CA030000"/>
    <w:p w14:paraId="CB030000"/>
    <w:p w14:paraId="CC030000"/>
    <w:p w14:paraId="CD030000"/>
    <w:p w14:paraId="CE030000">
      <w:pPr>
        <w:ind/>
        <w:jc w:val="center"/>
      </w:pPr>
      <w:r>
        <w:rPr>
          <w:b w:val="1"/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-182562</wp:posOffset>
            </wp:positionH>
            <wp:positionV relativeFrom="page">
              <wp:posOffset>4554202</wp:posOffset>
            </wp:positionV>
            <wp:extent cx="4762500" cy="4512936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10393" l="20204" r="21540" t="11677"/>
                    <a:stretch/>
                  </pic:blipFill>
                  <pic:spPr>
                    <a:xfrm flipH="false" flipV="false" rot="0">
                      <a:ext cx="4762500" cy="4512936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F030000">
      <w:bookmarkStart w:id="3" w:name="_GoBack"/>
      <w:bookmarkEnd w:id="3"/>
    </w:p>
    <w:p w14:paraId="D0030000"/>
    <w:p w14:paraId="D1030000"/>
    <w:p w14:paraId="D2030000"/>
    <w:p w14:paraId="D3030000"/>
    <w:p w14:paraId="D4030000"/>
    <w:p w14:paraId="D5030000"/>
    <w:p w14:paraId="D6030000"/>
    <w:p w14:paraId="D7030000"/>
    <w:p w14:paraId="D8030000"/>
    <w:p w14:paraId="D9030000"/>
    <w:p w14:paraId="DA030000"/>
    <w:p w14:paraId="DB030000"/>
    <w:p w14:paraId="DC030000"/>
    <w:p w14:paraId="DD030000"/>
    <w:p w14:paraId="DE030000"/>
    <w:p w14:paraId="DF030000"/>
    <w:sectPr>
      <w:headerReference r:id="rId1" w:type="default"/>
      <w:pgSz w:h="16838" w:orient="portrait" w:w="11906"/>
      <w:pgMar w:bottom="822" w:footer="709" w:gutter="0" w:header="709" w:left="1418" w:right="851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Обычный1"/>
    <w:link w:val="Style_4_ch"/>
  </w:style>
  <w:style w:styleId="Style_4_ch" w:type="character">
    <w:name w:val="Обычный1"/>
    <w:link w:val="Style_4"/>
  </w:style>
  <w:style w:styleId="Style_5" w:type="paragraph">
    <w:name w:val="toc 2"/>
    <w:next w:val="Style_3"/>
    <w:link w:val="Style_5_ch"/>
    <w:uiPriority w:val="39"/>
    <w:pPr>
      <w:ind w:firstLine="0" w:left="200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3"/>
    <w:link w:val="Style_6_ch"/>
    <w:uiPriority w:val="39"/>
    <w:pPr>
      <w:ind w:firstLine="0" w:left="600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Default Paragraph Font"/>
    <w:link w:val="Style_7_ch"/>
  </w:style>
  <w:style w:styleId="Style_7_ch" w:type="character">
    <w:name w:val="Default Paragraph Font"/>
    <w:link w:val="Style_7"/>
  </w:style>
  <w:style w:styleId="Style_8" w:type="paragraph">
    <w:name w:val="toc 6"/>
    <w:next w:val="Style_3"/>
    <w:link w:val="Style_8_ch"/>
    <w:uiPriority w:val="39"/>
    <w:pPr>
      <w:ind w:firstLine="0" w:left="1000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3"/>
    <w:link w:val="Style_9_ch"/>
    <w:uiPriority w:val="39"/>
    <w:pPr>
      <w:ind w:firstLine="0" w:left="1200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Основной шрифт абзаца1"/>
    <w:link w:val="Style_10_ch"/>
  </w:style>
  <w:style w:styleId="Style_10_ch" w:type="character">
    <w:name w:val="Основной шрифт абзаца1"/>
    <w:link w:val="Style_10"/>
  </w:style>
  <w:style w:styleId="Style_11" w:type="paragraph">
    <w:name w:val="Гиперссылка2"/>
    <w:link w:val="Style_11_ch"/>
    <w:rPr>
      <w:color w:val="0000FF"/>
      <w:u w:val="single"/>
    </w:rPr>
  </w:style>
  <w:style w:styleId="Style_11_ch" w:type="character">
    <w:name w:val="Гиперссылка2"/>
    <w:link w:val="Style_11"/>
    <w:rPr>
      <w:color w:val="0000FF"/>
      <w:u w:val="single"/>
    </w:rPr>
  </w:style>
  <w:style w:styleId="Style_12" w:type="paragraph">
    <w:name w:val="heading 3"/>
    <w:next w:val="Style_3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Гиперссылка1"/>
    <w:basedOn w:val="Style_10"/>
    <w:link w:val="Style_13_ch"/>
    <w:rPr>
      <w:color w:themeColor="hyperlink" w:val="0563C1"/>
      <w:u w:val="single"/>
    </w:rPr>
  </w:style>
  <w:style w:styleId="Style_13_ch" w:type="character">
    <w:name w:val="Гиперссылка1"/>
    <w:basedOn w:val="Style_10_ch"/>
    <w:link w:val="Style_13"/>
    <w:rPr>
      <w:color w:themeColor="hyperlink" w:val="0563C1"/>
      <w:u w:val="single"/>
    </w:rPr>
  </w:style>
  <w:style w:styleId="Style_14" w:type="paragraph">
    <w:name w:val="toc 3"/>
    <w:next w:val="Style_3"/>
    <w:link w:val="Style_14_ch"/>
    <w:uiPriority w:val="39"/>
    <w:pPr>
      <w:ind w:firstLine="0" w:left="400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footer"/>
    <w:basedOn w:val="Style_3"/>
    <w:link w:val="Style_15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15_ch" w:type="character">
    <w:name w:val="footer"/>
    <w:basedOn w:val="Style_3_ch"/>
    <w:link w:val="Style_15"/>
    <w:rPr>
      <w:rFonts w:ascii="Times New Roman" w:hAnsi="Times New Roman"/>
      <w:sz w:val="28"/>
    </w:rPr>
  </w:style>
  <w:style w:styleId="Style_16" w:type="paragraph">
    <w:name w:val="Основной шрифт абзаца1"/>
    <w:link w:val="Style_16_ch"/>
  </w:style>
  <w:style w:styleId="Style_16_ch" w:type="character">
    <w:name w:val="Основной шрифт абзаца1"/>
    <w:link w:val="Style_16"/>
  </w:style>
  <w:style w:styleId="Style_17" w:type="paragraph">
    <w:name w:val="heading 5"/>
    <w:next w:val="Style_3"/>
    <w:link w:val="Style_17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7_ch" w:type="character">
    <w:name w:val="heading 5"/>
    <w:link w:val="Style_17"/>
    <w:rPr>
      <w:rFonts w:ascii="XO Thames" w:hAnsi="XO Thames"/>
      <w:b w:val="1"/>
    </w:rPr>
  </w:style>
  <w:style w:styleId="Style_18" w:type="paragraph">
    <w:name w:val="heading 1"/>
    <w:next w:val="Style_3"/>
    <w:link w:val="Style_18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8_ch" w:type="character">
    <w:name w:val="heading 1"/>
    <w:link w:val="Style_18"/>
    <w:rPr>
      <w:rFonts w:ascii="XO Thames" w:hAnsi="XO Thames"/>
      <w:b w:val="1"/>
      <w:sz w:val="32"/>
    </w:rPr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</w:rPr>
  </w:style>
  <w:style w:styleId="Style_20_ch" w:type="character">
    <w:name w:val="Footnote"/>
    <w:link w:val="Style_20"/>
    <w:rPr>
      <w:rFonts w:ascii="XO Thames" w:hAnsi="XO Thames"/>
    </w:rPr>
  </w:style>
  <w:style w:styleId="Style_21" w:type="paragraph">
    <w:name w:val="toc 1"/>
    <w:next w:val="Style_3"/>
    <w:link w:val="Style_21_ch"/>
    <w:uiPriority w:val="39"/>
    <w:rPr>
      <w:rFonts w:ascii="XO Thames" w:hAnsi="XO Thames"/>
      <w:b w:val="1"/>
      <w:sz w:val="28"/>
    </w:rPr>
  </w:style>
  <w:style w:styleId="Style_21_ch" w:type="character">
    <w:name w:val="toc 1"/>
    <w:link w:val="Style_21"/>
    <w:rPr>
      <w:rFonts w:ascii="XO Thames" w:hAnsi="XO Thames"/>
      <w:b w:val="1"/>
      <w:sz w:val="28"/>
    </w:rPr>
  </w:style>
  <w:style w:styleId="Style_22" w:type="paragraph">
    <w:name w:val="Plain Text"/>
    <w:basedOn w:val="Style_3"/>
    <w:link w:val="Style_22_ch"/>
    <w:pPr>
      <w:spacing w:after="0" w:line="240" w:lineRule="auto"/>
      <w:ind/>
    </w:pPr>
    <w:rPr>
      <w:rFonts w:ascii="Calibri" w:hAnsi="Calibri"/>
    </w:rPr>
  </w:style>
  <w:style w:styleId="Style_22_ch" w:type="character">
    <w:name w:val="Plain Text"/>
    <w:basedOn w:val="Style_3_ch"/>
    <w:link w:val="Style_22"/>
    <w:rPr>
      <w:rFonts w:ascii="Calibri" w:hAnsi="Calibri"/>
    </w:rPr>
  </w:style>
  <w:style w:styleId="Style_23" w:type="paragraph">
    <w:name w:val="header"/>
    <w:basedOn w:val="Style_3"/>
    <w:link w:val="Style_23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3_ch" w:type="character">
    <w:name w:val="header"/>
    <w:basedOn w:val="Style_3_ch"/>
    <w:link w:val="Style_23"/>
  </w:style>
  <w:style w:styleId="Style_24" w:type="paragraph">
    <w:name w:val="Header and Footer"/>
    <w:link w:val="Style_24_ch"/>
    <w:pPr>
      <w:spacing w:line="240" w:lineRule="auto"/>
      <w:ind/>
      <w:jc w:val="both"/>
    </w:pPr>
    <w:rPr>
      <w:rFonts w:ascii="XO Thames" w:hAnsi="XO Thames"/>
      <w:sz w:val="20"/>
    </w:rPr>
  </w:style>
  <w:style w:styleId="Style_24_ch" w:type="character">
    <w:name w:val="Header and Footer"/>
    <w:link w:val="Style_24"/>
    <w:rPr>
      <w:rFonts w:ascii="XO Thames" w:hAnsi="XO Thames"/>
      <w:sz w:val="20"/>
    </w:rPr>
  </w:style>
  <w:style w:styleId="Style_25" w:type="paragraph">
    <w:name w:val="toc 9"/>
    <w:next w:val="Style_3"/>
    <w:link w:val="Style_25_ch"/>
    <w:uiPriority w:val="39"/>
    <w:pPr>
      <w:ind w:firstLine="0" w:left="1600"/>
    </w:pPr>
    <w:rPr>
      <w:rFonts w:ascii="XO Thames" w:hAnsi="XO Thames"/>
      <w:sz w:val="28"/>
    </w:rPr>
  </w:style>
  <w:style w:styleId="Style_25_ch" w:type="character">
    <w:name w:val="toc 9"/>
    <w:link w:val="Style_25"/>
    <w:rPr>
      <w:rFonts w:ascii="XO Thames" w:hAnsi="XO Thames"/>
      <w:sz w:val="28"/>
    </w:rPr>
  </w:style>
  <w:style w:styleId="Style_26" w:type="paragraph">
    <w:name w:val="toc 8"/>
    <w:next w:val="Style_3"/>
    <w:link w:val="Style_26_ch"/>
    <w:uiPriority w:val="39"/>
    <w:pPr>
      <w:ind w:firstLine="0" w:left="1400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27" w:type="paragraph">
    <w:name w:val="toc 5"/>
    <w:next w:val="Style_3"/>
    <w:link w:val="Style_27_ch"/>
    <w:uiPriority w:val="39"/>
    <w:pPr>
      <w:ind w:firstLine="0" w:left="800"/>
    </w:pPr>
    <w:rPr>
      <w:rFonts w:ascii="XO Thames" w:hAnsi="XO Thames"/>
      <w:sz w:val="28"/>
    </w:rPr>
  </w:style>
  <w:style w:styleId="Style_27_ch" w:type="character">
    <w:name w:val="toc 5"/>
    <w:link w:val="Style_27"/>
    <w:rPr>
      <w:rFonts w:ascii="XO Thames" w:hAnsi="XO Thames"/>
      <w:sz w:val="28"/>
    </w:rPr>
  </w:style>
  <w:style w:styleId="Style_28" w:type="paragraph">
    <w:name w:val="Balloon Text"/>
    <w:basedOn w:val="Style_3"/>
    <w:link w:val="Style_28_ch"/>
    <w:pPr>
      <w:spacing w:after="0" w:line="240" w:lineRule="auto"/>
      <w:ind/>
    </w:pPr>
    <w:rPr>
      <w:rFonts w:ascii="Segoe UI" w:hAnsi="Segoe UI"/>
      <w:sz w:val="18"/>
    </w:rPr>
  </w:style>
  <w:style w:styleId="Style_28_ch" w:type="character">
    <w:name w:val="Balloon Text"/>
    <w:basedOn w:val="Style_3_ch"/>
    <w:link w:val="Style_28"/>
    <w:rPr>
      <w:rFonts w:ascii="Segoe UI" w:hAnsi="Segoe UI"/>
      <w:sz w:val="18"/>
    </w:rPr>
  </w:style>
  <w:style w:styleId="Style_29" w:type="paragraph">
    <w:name w:val="Обычный1"/>
    <w:link w:val="Style_29_ch"/>
  </w:style>
  <w:style w:styleId="Style_29_ch" w:type="character">
    <w:name w:val="Обычный1"/>
    <w:link w:val="Style_29"/>
  </w:style>
  <w:style w:styleId="Style_30" w:type="paragraph">
    <w:name w:val="Subtitle"/>
    <w:next w:val="Style_3"/>
    <w:link w:val="Style_3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0_ch" w:type="character">
    <w:name w:val="Subtitle"/>
    <w:link w:val="Style_30"/>
    <w:rPr>
      <w:rFonts w:ascii="XO Thames" w:hAnsi="XO Thames"/>
      <w:i w:val="1"/>
      <w:sz w:val="24"/>
    </w:rPr>
  </w:style>
  <w:style w:styleId="Style_31" w:type="paragraph">
    <w:name w:val="Title"/>
    <w:next w:val="Style_3"/>
    <w:link w:val="Style_3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1_ch" w:type="character">
    <w:name w:val="Title"/>
    <w:link w:val="Style_31"/>
    <w:rPr>
      <w:rFonts w:ascii="XO Thames" w:hAnsi="XO Thames"/>
      <w:b w:val="1"/>
      <w:caps w:val="1"/>
      <w:sz w:val="40"/>
    </w:rPr>
  </w:style>
  <w:style w:styleId="Style_32" w:type="paragraph">
    <w:name w:val="heading 4"/>
    <w:next w:val="Style_3"/>
    <w:link w:val="Style_3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2_ch" w:type="character">
    <w:name w:val="heading 4"/>
    <w:link w:val="Style_32"/>
    <w:rPr>
      <w:rFonts w:ascii="XO Thames" w:hAnsi="XO Thames"/>
      <w:b w:val="1"/>
      <w:sz w:val="24"/>
    </w:rPr>
  </w:style>
  <w:style w:styleId="Style_33" w:type="paragraph">
    <w:name w:val="heading 2"/>
    <w:next w:val="Style_3"/>
    <w:link w:val="Style_3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3_ch" w:type="character">
    <w:name w:val="heading 2"/>
    <w:link w:val="Style_33"/>
    <w:rPr>
      <w:rFonts w:ascii="XO Thames" w:hAnsi="XO Thames"/>
      <w:b w:val="1"/>
      <w:sz w:val="28"/>
    </w:rPr>
  </w:style>
  <w:style w:styleId="Style_34" w:type="table">
    <w:name w:val="Сетка таблицы2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" w:type="table">
    <w:name w:val="Table Grid"/>
    <w:basedOn w:val="Style_1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5" w:type="table">
    <w:name w:val="Сетка таблицы1"/>
    <w:basedOn w:val="Style_1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5.jpeg" Type="http://schemas.openxmlformats.org/officeDocument/2006/relationships/imag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2" Target="theme/theme1.xml" Type="http://schemas.openxmlformats.org/officeDocument/2006/relationships/them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2023-07-10T00:53:34Z</dcterms:modified>
</cp:coreProperties>
</file>