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«Остров Богослова»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</w:t>
      </w:r>
      <w:r>
        <w:rPr>
          <w:rFonts w:ascii="Times New Roman" w:hAnsi="Times New Roman"/>
          <w:sz w:val="28"/>
        </w:rPr>
        <w:t>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</w:t>
      </w:r>
      <w:r>
        <w:rPr>
          <w:rFonts w:ascii="Times New Roman" w:hAnsi="Times New Roman"/>
          <w:sz w:val="28"/>
        </w:rPr>
        <w:t>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</w:t>
      </w:r>
      <w:r>
        <w:rPr>
          <w:rFonts w:ascii="Times New Roman" w:hAnsi="Times New Roman"/>
          <w:sz w:val="28"/>
        </w:rPr>
        <w:t>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</w:t>
      </w:r>
      <w:r>
        <w:rPr>
          <w:rFonts w:ascii="Times New Roman" w:hAnsi="Times New Roman"/>
          <w:sz w:val="28"/>
        </w:rPr>
        <w:t>амятнике природы регионального значения «Остров Богослова»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Богослова» согласно приложению 2 к настоящему постан</w:t>
      </w:r>
      <w:r>
        <w:rPr>
          <w:rFonts w:ascii="Times New Roman" w:hAnsi="Times New Roman"/>
          <w:sz w:val="28"/>
        </w:rPr>
        <w:t>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Правительства</w:t>
      </w:r>
    </w:p>
    <w:p w14:paraId="1E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Камчатского края                                                                                      Е.А. Чекин</w:t>
      </w:r>
    </w:p>
    <w:p w14:paraId="1F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0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1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2000000"/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</w:t>
            </w:r>
            <w:r>
              <w:rPr>
                <w:rFonts w:ascii="Times New Roman" w:hAnsi="Times New Roman"/>
                <w:sz w:val="28"/>
              </w:rPr>
              <w:t xml:space="preserve">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/>
        </w:tc>
      </w:tr>
    </w:tbl>
    <w:p w14:paraId="3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Богослова»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B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Настоящее положение регулирует вопросы охраны и использования </w:t>
      </w:r>
      <w:r>
        <w:rPr>
          <w:rFonts w:ascii="Times New Roman" w:hAnsi="Times New Roman"/>
          <w:sz w:val="28"/>
        </w:rPr>
        <w:t>памятника природы регионального значения «Остров Богослова» (далее – Памятник природы).</w:t>
      </w:r>
    </w:p>
    <w:p w14:paraId="3D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E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</w:t>
      </w:r>
      <w:r>
        <w:rPr>
          <w:rFonts w:ascii="Times New Roman" w:hAnsi="Times New Roman"/>
          <w:sz w:val="28"/>
        </w:rPr>
        <w:t>ми создания Памятника природы являются:</w:t>
      </w:r>
    </w:p>
    <w:p w14:paraId="3F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скалистым, с четырьмя вершинами, островом Богослова (</w:t>
      </w:r>
      <w:r>
        <w:rPr>
          <w:rFonts w:ascii="Times New Roman" w:hAnsi="Times New Roman"/>
          <w:sz w:val="28"/>
        </w:rPr>
        <w:t>максимальная отметка – 515,7 м над уровнем моря, размеры 1,6 х 2,4 км), расположенного в северо-западной части Берингова моря, с высокими крутыми обрывистыми берегами в его восточной части, небольшим песчано-галечным пляжем и гротами на его северо-западном</w:t>
      </w:r>
      <w:r>
        <w:rPr>
          <w:rFonts w:ascii="Times New Roman" w:hAnsi="Times New Roman"/>
          <w:sz w:val="28"/>
        </w:rPr>
        <w:t xml:space="preserve"> побережье,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>, надводными и подводными камнями как среды обитания гнездящихся морских колониальных птиц, а также морских млекопитающих;</w:t>
      </w:r>
    </w:p>
    <w:p w14:paraId="40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Камчатского края и Красную книгу Р</w:t>
      </w:r>
      <w:r>
        <w:rPr>
          <w:rFonts w:ascii="Times New Roman" w:hAnsi="Times New Roman"/>
          <w:sz w:val="28"/>
        </w:rPr>
        <w:t>оссийской Федерации, сохранение среды их обитания;</w:t>
      </w:r>
    </w:p>
    <w:p w14:paraId="4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охраны лежбищ и залежек всех видов морских млекопитающих, прежде всего сивуча </w:t>
      </w:r>
      <w:r>
        <w:rPr>
          <w:rFonts w:ascii="Times New Roman" w:hAnsi="Times New Roman"/>
          <w:i w:val="1"/>
          <w:sz w:val="28"/>
        </w:rPr>
        <w:t>Eumetopias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jubatus</w:t>
      </w:r>
      <w:r>
        <w:rPr>
          <w:rFonts w:ascii="Times New Roman" w:hAnsi="Times New Roman"/>
          <w:sz w:val="28"/>
        </w:rPr>
        <w:t xml:space="preserve">, тихоокеанского моржа </w:t>
      </w:r>
      <w:r>
        <w:rPr>
          <w:rFonts w:ascii="Times New Roman" w:hAnsi="Times New Roman"/>
          <w:i w:val="1"/>
          <w:sz w:val="28"/>
        </w:rPr>
        <w:t>Odobenus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rosmarus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divergens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ларги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larga</w:t>
      </w:r>
      <w:r>
        <w:rPr>
          <w:rFonts w:ascii="Times New Roman" w:hAnsi="Times New Roman"/>
          <w:sz w:val="28"/>
        </w:rPr>
        <w:t>, а также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мест гнездований 9 видов мо</w:t>
      </w:r>
      <w:r>
        <w:rPr>
          <w:rFonts w:ascii="Times New Roman" w:hAnsi="Times New Roman"/>
          <w:sz w:val="28"/>
        </w:rPr>
        <w:t>рских колониальных птиц, общая численность которых достигает 72–75 тыс. пар;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естественную островную экологическую систему при осуществлении туризма;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</w:t>
      </w:r>
      <w:r>
        <w:rPr>
          <w:rFonts w:ascii="Times New Roman" w:hAnsi="Times New Roman"/>
          <w:sz w:val="28"/>
        </w:rPr>
        <w:t>кий мониторинг (государственный мониторинг окружающей среды);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6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</w:t>
      </w:r>
      <w:r>
        <w:rPr>
          <w:rFonts w:ascii="Times New Roman" w:hAnsi="Times New Roman"/>
          <w:sz w:val="28"/>
        </w:rPr>
        <w:t>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7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</w:t>
      </w:r>
      <w:r>
        <w:rPr>
          <w:rFonts w:ascii="Times New Roman" w:hAnsi="Times New Roman"/>
          <w:sz w:val="28"/>
        </w:rPr>
        <w:t>ных участков для государственных нужд, а также у собственников, землепользователей, землевладельцев.</w:t>
      </w:r>
    </w:p>
    <w:p w14:paraId="48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284,8 га. </w:t>
      </w:r>
    </w:p>
    <w:p w14:paraId="49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Природные ресурсы, расположенные в границах Памятника природы, ограничиваются в гражданском </w:t>
      </w:r>
      <w:r>
        <w:rPr>
          <w:rFonts w:ascii="Times New Roman" w:hAnsi="Times New Roman"/>
          <w:sz w:val="28"/>
        </w:rPr>
        <w:t>обороте в соответствии с требованиями действующего законодательства и настоящего Положения.</w:t>
      </w:r>
    </w:p>
    <w:p w14:paraId="4A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</w:t>
      </w:r>
      <w:r>
        <w:rPr>
          <w:rFonts w:ascii="Times New Roman" w:hAnsi="Times New Roman"/>
          <w:color w:themeColor="text1" w:val="000000"/>
          <w:sz w:val="28"/>
        </w:rPr>
        <w:t>нами.</w:t>
      </w:r>
    </w:p>
    <w:p w14:paraId="4B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</w:t>
      </w:r>
      <w:r>
        <w:rPr>
          <w:rFonts w:ascii="Times New Roman" w:hAnsi="Times New Roman"/>
          <w:color w:themeColor="text1" w:val="000000"/>
          <w:sz w:val="28"/>
        </w:rPr>
        <w:t xml:space="preserve">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10. Основным видом разрешенного </w:t>
      </w:r>
      <w:r>
        <w:rPr>
          <w:rFonts w:ascii="Times New Roman" w:hAnsi="Times New Roman"/>
          <w:color w:themeColor="text1" w:val="000000"/>
          <w:sz w:val="28"/>
        </w:rPr>
        <w:t>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</w:t>
      </w:r>
      <w:r>
        <w:rPr>
          <w:rFonts w:ascii="Times New Roman" w:hAnsi="Times New Roman"/>
          <w:color w:themeColor="text1" w:val="000000"/>
          <w:sz w:val="28"/>
        </w:rPr>
        <w:t>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</w:t>
      </w:r>
      <w:r>
        <w:rPr>
          <w:rFonts w:ascii="Times New Roman" w:hAnsi="Times New Roman"/>
          <w:color w:themeColor="text1" w:val="000000"/>
          <w:sz w:val="28"/>
        </w:rPr>
        <w:t xml:space="preserve"> настоящего Положения.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</w:t>
      </w:r>
      <w:r>
        <w:rPr>
          <w:rFonts w:ascii="Times New Roman" w:hAnsi="Times New Roman"/>
          <w:color w:themeColor="text1" w:val="000000"/>
          <w:sz w:val="28"/>
        </w:rPr>
        <w:t>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</w:t>
      </w:r>
      <w:r>
        <w:rPr>
          <w:rFonts w:ascii="Times New Roman" w:hAnsi="Times New Roman"/>
          <w:color w:themeColor="text1" w:val="000000"/>
          <w:sz w:val="28"/>
        </w:rPr>
        <w:t xml:space="preserve">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>На территории Памятника природы экономическая и иная деятельность осуществляется с соблюдением требований настоящего Положен</w:t>
      </w:r>
      <w:r>
        <w:rPr>
          <w:rFonts w:ascii="Times New Roman" w:hAnsi="Times New Roman"/>
          <w:sz w:val="28"/>
        </w:rPr>
        <w:t>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</w:t>
      </w:r>
      <w:r>
        <w:rPr>
          <w:rFonts w:ascii="Times New Roman" w:hAnsi="Times New Roman"/>
          <w:sz w:val="28"/>
        </w:rPr>
        <w:t xml:space="preserve">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Охрана Памятника природы и управление им осуществляется краевым госу</w:t>
      </w:r>
      <w:r>
        <w:rPr>
          <w:rFonts w:ascii="Times New Roman" w:hAnsi="Times New Roman"/>
          <w:sz w:val="28"/>
        </w:rPr>
        <w:t xml:space="preserve">дарственным бюджетным учреждением «Служба по охране животного мира </w:t>
      </w:r>
      <w:r>
        <w:rPr>
          <w:rFonts w:ascii="Times New Roman" w:hAnsi="Times New Roman"/>
          <w:sz w:val="28"/>
        </w:rPr>
        <w:t xml:space="preserve">и государственных природных заказников Камчатского края» (далее – Учреждение).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 К ме</w:t>
      </w:r>
      <w:r>
        <w:rPr>
          <w:rFonts w:ascii="Times New Roman" w:hAnsi="Times New Roman"/>
          <w:sz w:val="28"/>
        </w:rPr>
        <w:t xml:space="preserve">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</w:pPr>
    </w:p>
    <w:p w14:paraId="54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</w:t>
      </w:r>
      <w:r>
        <w:rPr>
          <w:rFonts w:ascii="Times New Roman" w:hAnsi="Times New Roman"/>
          <w:sz w:val="28"/>
        </w:rPr>
        <w:t>ц Памятника природы</w:t>
      </w:r>
    </w:p>
    <w:p w14:paraId="5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5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представляет собой одноименный остров, находится в </w:t>
      </w:r>
      <w:r>
        <w:rPr>
          <w:rFonts w:ascii="Times New Roman" w:hAnsi="Times New Roman"/>
          <w:sz w:val="28"/>
        </w:rPr>
        <w:t>Олюторском</w:t>
      </w:r>
      <w:r>
        <w:rPr>
          <w:rFonts w:ascii="Times New Roman" w:hAnsi="Times New Roman"/>
          <w:sz w:val="28"/>
        </w:rPr>
        <w:t xml:space="preserve"> муниципальном районе Камчатского края, в северо-западной части Берингова моря, в 2032,3 м к восток-северо-востоку от мыса Отвесный, расположенного между бухтами-фьордами </w:t>
      </w:r>
      <w:r>
        <w:rPr>
          <w:rFonts w:ascii="Times New Roman" w:hAnsi="Times New Roman"/>
          <w:sz w:val="28"/>
        </w:rPr>
        <w:t>Петра  и</w:t>
      </w:r>
      <w:r>
        <w:rPr>
          <w:rFonts w:ascii="Times New Roman" w:hAnsi="Times New Roman"/>
          <w:sz w:val="28"/>
        </w:rPr>
        <w:t xml:space="preserve">  Павла,  в  2564,6 м к северу от мыса Зосимы, ограничивающего вход в бухту-ф</w:t>
      </w:r>
      <w:r>
        <w:rPr>
          <w:rFonts w:ascii="Times New Roman" w:hAnsi="Times New Roman"/>
          <w:sz w:val="28"/>
        </w:rPr>
        <w:t xml:space="preserve">ьорд Петра. 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</w:t>
      </w:r>
      <w:r>
        <w:rPr>
          <w:rFonts w:ascii="Times New Roman" w:hAnsi="Times New Roman"/>
          <w:sz w:val="28"/>
        </w:rPr>
        <w:t>оконтуривает</w:t>
      </w:r>
      <w:r>
        <w:rPr>
          <w:rFonts w:ascii="Times New Roman" w:hAnsi="Times New Roman"/>
          <w:sz w:val="28"/>
        </w:rPr>
        <w:t xml:space="preserve"> остров и проходит по урезу воды в период максимального отлива: 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от характерной точки 1 с географическими координатами 61 градус 6 минут 52.6 секунды северной широты и 172 градуса 29 минут 11.9 секу</w:t>
      </w:r>
      <w:r>
        <w:rPr>
          <w:rFonts w:ascii="Times New Roman" w:hAnsi="Times New Roman"/>
          <w:sz w:val="28"/>
        </w:rPr>
        <w:t xml:space="preserve">нды восточной долготы, расположенной на береговой линии в северной части острова, проходит в общем юго-восточном направлении на протяжении 1150,8 м через характерные точки 39–33 до характерной точки 32 с географическими координатами 61 градус 6 минут 26.4 </w:t>
      </w:r>
      <w:r>
        <w:rPr>
          <w:rFonts w:ascii="Times New Roman" w:hAnsi="Times New Roman"/>
          <w:sz w:val="28"/>
        </w:rPr>
        <w:t>секунды северной широты и 172 градуса 29 минут 49.3 секунды восточной долготы, расположенной на восточном берегу острова; далее от характерной точки 32 в общем юго-западном направлении на протяжении 2349,4 м через характерные точки 29–22 до характерной точ</w:t>
      </w:r>
      <w:r>
        <w:rPr>
          <w:rFonts w:ascii="Times New Roman" w:hAnsi="Times New Roman"/>
          <w:sz w:val="28"/>
        </w:rPr>
        <w:t>ки 21 с географическими координатами 61 градус 5 минут 46.9 секунды северной широты и 172 градуса 27 минут 49.8 секунды восточной долготы, расположенной на южном берегу острова; далее от характерной точки 21 в общем северном направлении на протяжении 1755,</w:t>
      </w:r>
      <w:r>
        <w:rPr>
          <w:rFonts w:ascii="Times New Roman" w:hAnsi="Times New Roman"/>
          <w:sz w:val="28"/>
        </w:rPr>
        <w:t>9 м через характерные точки 20–12 до характерной точки 11 с географическими координатами 61 градус 6 минут 32.1 секунды северной широты и 172 градуса 27 минут 54.8 секунды восточной долготы, расположенной на западном берегу острова; далее от характерной то</w:t>
      </w:r>
      <w:r>
        <w:rPr>
          <w:rFonts w:ascii="Times New Roman" w:hAnsi="Times New Roman"/>
          <w:sz w:val="28"/>
        </w:rPr>
        <w:t xml:space="preserve">чки 11 в общем северо-восточном направлении на протяжении 1403,5 м через характерные точки 10–2 до характерной точки 1, где и замыкается. </w:t>
      </w:r>
    </w:p>
    <w:p w14:paraId="59000000">
      <w:pPr>
        <w:ind w:firstLine="709" w:left="0"/>
        <w:jc w:val="both"/>
        <w:rPr>
          <w:highlight w:val="yellow"/>
        </w:rPr>
      </w:pPr>
    </w:p>
    <w:p w14:paraId="5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C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</w:t>
      </w:r>
      <w:r>
        <w:rPr>
          <w:rFonts w:ascii="Times New Roman" w:hAnsi="Times New Roman"/>
          <w:sz w:val="28"/>
        </w:rPr>
        <w:t xml:space="preserve"> всякая деятельность, влекущая за собой нарушение его сохранности, в том числе:</w:t>
      </w:r>
    </w:p>
    <w:p w14:paraId="5D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5E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0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</w:t>
      </w:r>
      <w:r>
        <w:rPr>
          <w:rFonts w:ascii="Times New Roman" w:hAnsi="Times New Roman"/>
          <w:sz w:val="28"/>
        </w:rPr>
        <w:t>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</w:t>
      </w:r>
      <w:r>
        <w:rPr>
          <w:rFonts w:ascii="Times New Roman" w:hAnsi="Times New Roman"/>
          <w:sz w:val="28"/>
        </w:rPr>
        <w:t>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1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</w:t>
      </w:r>
      <w:r>
        <w:rPr>
          <w:rFonts w:ascii="Times New Roman" w:hAnsi="Times New Roman"/>
          <w:sz w:val="28"/>
        </w:rPr>
        <w:t>олезных ископаемых;</w:t>
      </w:r>
    </w:p>
    <w:p w14:paraId="62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3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</w:t>
      </w:r>
      <w:r>
        <w:rPr>
          <w:rFonts w:ascii="Times New Roman" w:hAnsi="Times New Roman"/>
          <w:sz w:val="28"/>
        </w:rPr>
        <w:t>ства охраняемых объектов животного мира, в том числе:</w:t>
      </w:r>
    </w:p>
    <w:p w14:paraId="66000000">
      <w:pPr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</w:t>
      </w:r>
      <w:r>
        <w:rPr>
          <w:rFonts w:ascii="Times New Roman" w:hAnsi="Times New Roman"/>
          <w:sz w:val="28"/>
        </w:rPr>
        <w:t xml:space="preserve"> ситуаций, осуществления природоохранных мероприятий;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</w:t>
      </w:r>
      <w:r>
        <w:rPr>
          <w:rFonts w:ascii="Times New Roman" w:hAnsi="Times New Roman"/>
          <w:sz w:val="28"/>
        </w:rPr>
        <w:t>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накопление, размещение, захоронение, сжигание отходов производства и потребления;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порча и загрязнение земель</w:t>
      </w:r>
      <w:r>
        <w:rPr>
          <w:rFonts w:ascii="Times New Roman" w:hAnsi="Times New Roman"/>
          <w:sz w:val="28"/>
        </w:rPr>
        <w:t>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деятельность, ведущая к загрязнению прилегающей акватории Берингова моря; 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интродукци</w:t>
      </w:r>
      <w:r>
        <w:rPr>
          <w:rFonts w:ascii="Times New Roman" w:hAnsi="Times New Roman"/>
          <w:sz w:val="28"/>
        </w:rPr>
        <w:t xml:space="preserve">я живых организмов; 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все виды охоты, сбор яиц морских колониальных птиц, добыча морских млекопитающих, за исключением случаев, предусмотренных в пункте 1 части 20 настоящего Положения;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осуществление туризма вне специально оборудованных для этого ме</w:t>
      </w:r>
      <w:r>
        <w:rPr>
          <w:rFonts w:ascii="Times New Roman" w:hAnsi="Times New Roman"/>
          <w:sz w:val="28"/>
        </w:rPr>
        <w:t xml:space="preserve">стах и </w:t>
      </w:r>
      <w:r>
        <w:rPr>
          <w:rFonts w:ascii="Times New Roman" w:hAnsi="Times New Roman"/>
          <w:sz w:val="28"/>
        </w:rPr>
        <w:t>маршрутах ;</w:t>
      </w:r>
      <w:r>
        <w:rPr>
          <w:rFonts w:ascii="Times New Roman" w:hAnsi="Times New Roman"/>
          <w:sz w:val="28"/>
        </w:rPr>
        <w:t xml:space="preserve"> 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</w:t>
      </w:r>
      <w:r>
        <w:rPr>
          <w:rFonts w:ascii="Times New Roman" w:hAnsi="Times New Roman"/>
          <w:sz w:val="28"/>
        </w:rPr>
        <w:t>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</w:t>
      </w:r>
      <w:r>
        <w:rPr>
          <w:rFonts w:ascii="Times New Roman" w:hAnsi="Times New Roman"/>
          <w:sz w:val="28"/>
        </w:rPr>
        <w:t xml:space="preserve">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</w:t>
      </w:r>
      <w:r>
        <w:rPr>
          <w:rFonts w:ascii="Times New Roman" w:hAnsi="Times New Roman"/>
          <w:sz w:val="28"/>
        </w:rPr>
        <w:t>едерации;</w:t>
      </w:r>
    </w:p>
    <w:p w14:paraId="7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 проведение мероприятий, направленных на сохранение, восстановление и поддержание в равновесном состоянии островной экосистемы, в том</w:t>
      </w:r>
      <w:r>
        <w:rPr>
          <w:rFonts w:ascii="Times New Roman" w:hAnsi="Times New Roman"/>
          <w:sz w:val="28"/>
        </w:rPr>
        <w:t xml:space="preserve">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(без высадки на остров);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5000000">
      <w:pPr>
        <w:ind w:firstLine="709" w:left="0"/>
        <w:jc w:val="both"/>
      </w:pPr>
    </w:p>
    <w:p w14:paraId="86000000">
      <w:pPr>
        <w:ind w:firstLine="709" w:left="0"/>
        <w:jc w:val="both"/>
      </w:pPr>
    </w:p>
    <w:p w14:paraId="87000000">
      <w:pPr>
        <w:ind w:firstLine="709" w:left="0"/>
        <w:jc w:val="both"/>
      </w:pPr>
    </w:p>
    <w:p w14:paraId="88000000">
      <w:pPr>
        <w:ind w:firstLine="709" w:left="0"/>
        <w:jc w:val="both"/>
      </w:pPr>
    </w:p>
    <w:p w14:paraId="89000000">
      <w:pPr>
        <w:ind w:firstLine="709" w:left="0"/>
        <w:jc w:val="both"/>
      </w:pPr>
    </w:p>
    <w:p w14:paraId="8A000000">
      <w:pPr>
        <w:ind w:firstLine="709" w:left="0"/>
        <w:jc w:val="both"/>
      </w:pPr>
    </w:p>
    <w:p w14:paraId="8B000000">
      <w:pPr>
        <w:ind w:firstLine="709" w:left="0"/>
        <w:jc w:val="both"/>
      </w:pPr>
    </w:p>
    <w:p w14:paraId="8C000000">
      <w:pPr>
        <w:ind w:firstLine="709" w:left="0"/>
        <w:jc w:val="both"/>
      </w:pPr>
    </w:p>
    <w:p w14:paraId="8D000000">
      <w:pPr>
        <w:ind w:firstLine="709" w:left="0"/>
        <w:jc w:val="both"/>
      </w:pPr>
    </w:p>
    <w:p w14:paraId="8E000000">
      <w:pPr>
        <w:ind w:firstLine="709" w:left="0"/>
        <w:jc w:val="both"/>
      </w:pPr>
    </w:p>
    <w:p w14:paraId="8F000000">
      <w:pPr>
        <w:ind w:firstLine="709" w:left="0"/>
        <w:jc w:val="both"/>
      </w:pPr>
    </w:p>
    <w:p w14:paraId="90000000">
      <w:pPr>
        <w:ind w:firstLine="709" w:left="0"/>
        <w:jc w:val="both"/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1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5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A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B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C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0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2000000"/>
        </w:tc>
      </w:tr>
    </w:tbl>
    <w:p w14:paraId="A3000000">
      <w:pPr>
        <w:ind/>
        <w:jc w:val="center"/>
      </w:pPr>
    </w:p>
    <w:p w14:paraId="A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A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A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Богослова» (далее – Памятник природы)</w:t>
      </w:r>
    </w:p>
    <w:p w14:paraId="A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A9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>Олюторский</w:t>
            </w:r>
            <w:r>
              <w:rPr>
                <w:rFonts w:ascii="Times New Roman" w:hAnsi="Times New Roman"/>
                <w:sz w:val="24"/>
              </w:rPr>
              <w:t xml:space="preserve"> 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</w:t>
            </w:r>
            <w:r>
              <w:rPr>
                <w:rFonts w:ascii="Times New Roman" w:hAnsi="Times New Roman"/>
                <w:sz w:val="24"/>
              </w:rPr>
              <w:t>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2847609 +/- 14766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Исполнительного комитета Камчатского областного Совета народных депутатов от 28.12.1983 № 562 «О мерах по усилению охраны </w:t>
            </w:r>
            <w:r>
              <w:rPr>
                <w:rFonts w:ascii="Times New Roman" w:hAnsi="Times New Roman"/>
                <w:sz w:val="24"/>
              </w:rPr>
              <w:t>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B9000000">
      <w:pPr>
        <w:spacing w:after="0"/>
        <w:ind/>
        <w:jc w:val="center"/>
      </w:pPr>
    </w:p>
    <w:p w14:paraId="B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B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Сведения о </w:t>
            </w:r>
            <w:r>
              <w:rPr>
                <w:rFonts w:ascii="Times New Roman" w:hAnsi="Times New Roman"/>
                <w:sz w:val="24"/>
              </w:rPr>
              <w:t>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C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C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1463489.27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3508767.59</w:t>
            </w:r>
          </w:p>
        </w:tc>
        <w:tc>
          <w:tcPr>
            <w:tcW w:type="dxa" w:w="210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61°6'52.6'' </w:t>
            </w:r>
          </w:p>
        </w:tc>
        <w:tc>
          <w:tcPr>
            <w:tcW w:type="dxa" w:w="2381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172°29'11.6''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1463494.36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3508622.05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61°6'52.9''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172°29'1.9''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1463452.12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3508506.99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61°6'51.6'' 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172°28'54.1''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1463334.70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3508361.93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61°6'48.0''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172°28'44.2''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1463207.31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3508207.50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61°6'44.0'' 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172°28'33.6''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1463048.80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3508092.76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61°6'39.0''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172°28'25.6''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1462943.57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3508028.11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61°6'35.7''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172°28'21.1''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1462866.01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3507920.59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61°6'33.3''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172°28'13.8''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1462831.43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3507792.37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61°6'32.3''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172°28'5.1''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1462855.30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3507727.00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61°6'33.2''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172°28'0.8''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1462820.23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3507637.59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61°6'32.1''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172°27'54.8''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1462740.27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3507607.72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61°6'29.6''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172°27'52.6''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1462656.30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3507603.75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6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61°6'26.8''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6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172°27'52.2''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1462525.98</w:t>
            </w:r>
          </w:p>
        </w:tc>
        <w:tc>
          <w:tcPr>
            <w:tcW w:type="dxa" w:w="1738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3507462.26</w:t>
            </w:r>
          </w:p>
        </w:tc>
        <w:tc>
          <w:tcPr>
            <w:tcW w:type="dxa" w:w="2106"/>
            <w:tcBorders>
              <w:top w:color="000000" w:sz="6" w:val="single"/>
              <w:left w:sz="4" w:val="nil"/>
              <w:bottom w:color="000000" w:sz="6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61°6'22.8''</w:t>
            </w:r>
          </w:p>
        </w:tc>
        <w:tc>
          <w:tcPr>
            <w:tcW w:type="dxa" w:w="2381"/>
            <w:tcBorders>
              <w:top w:color="000000" w:sz="6" w:val="single"/>
              <w:left w:sz="4" w:val="nil"/>
              <w:bottom w:color="000000" w:sz="6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172°27'42.5''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1462419.88</w:t>
            </w:r>
          </w:p>
        </w:tc>
        <w:tc>
          <w:tcPr>
            <w:tcW w:type="dxa" w:w="1738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3507368.47</w:t>
            </w:r>
          </w:p>
        </w:tc>
        <w:tc>
          <w:tcPr>
            <w:tcW w:type="dxa" w:w="2106"/>
            <w:tcBorders>
              <w:top w:color="000000" w:sz="6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61°6'19.5''</w:t>
            </w:r>
          </w:p>
        </w:tc>
        <w:tc>
          <w:tcPr>
            <w:tcW w:type="dxa" w:w="2381"/>
            <w:tcBorders>
              <w:top w:color="000000" w:sz="6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172°27'36.0''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1462286.18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3507324.04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61°6'15.2''.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172°27'32.8''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1462079.76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3507330.32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61°6'8.5''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172°27'32.8''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1461889.60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3507339.35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61°6'2.4''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172°27'32.9''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1461536.95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3507314.52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61°5'50.9''.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172°27'30.6''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1461410.22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3507392.76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61°5'46.8''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172°27'35.6''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1461419.96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3507605.94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61°5'46.9''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172°27'49.8''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1461501.05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3507829.83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61°5'49.3''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172°28'4.9''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1461526.56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3508032.81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61°5'49.9''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172°28'18.5''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1461522.32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3508210.79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61°5'49.6''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172°28'30.4''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1461634.29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3508378.66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61°5'53.1''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172°28'41.8''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1461659.34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3508565.45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61°5'53.7''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172°28'54.3''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1461732.34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3508734.57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61°5'55.9''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172°29'5.7''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1461895.29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3508887.94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61°6'1.0''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172°29'16.3''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1462076.73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3509014.94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61°6'6.7''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172°29'25.2''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1462275.02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3509163.96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61°6'12.9''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172°29'35.5''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1462491.69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3509280.11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61°6'19.9''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172°29'43.7''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1462697.38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3509358.01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61°6'26.4''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172°29'49.3''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1462888.84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3509390.87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61°6'32.6''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172°29'51.9''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1463069.02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3509369.14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61°6'38.4''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172°29'50.8''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1463170.87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3509323.95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61°6'41.8''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172°29'48.0''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1463261.54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3509227.37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61°6'44.8''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172°29'41.8''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1463342.42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3509127.91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61°6'47.5''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172°29'35.3''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1463397.35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3509025.98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61°6'49.4''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172°29'28.6''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1463414.34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3508850.71</w:t>
            </w:r>
          </w:p>
        </w:tc>
        <w:tc>
          <w:tcPr>
            <w:tcW w:type="dxa" w:w="210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61°6'50.1''</w:t>
            </w:r>
          </w:p>
        </w:tc>
        <w:tc>
          <w:tcPr>
            <w:tcW w:type="dxa" w:w="238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172°29'16.9''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1463489.27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3508767.59</w:t>
            </w:r>
          </w:p>
        </w:tc>
        <w:tc>
          <w:tcPr>
            <w:tcW w:type="dxa" w:w="210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61°6'52.6'' </w:t>
            </w:r>
          </w:p>
        </w:tc>
        <w:tc>
          <w:tcPr>
            <w:tcW w:type="dxa" w:w="2381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172°29'11.6'' </w:t>
            </w:r>
          </w:p>
        </w:tc>
      </w:tr>
    </w:tbl>
    <w:p w14:paraId="99010000">
      <w:pPr>
        <w:ind/>
        <w:jc w:val="center"/>
        <w:rPr>
          <w:rFonts w:ascii="Times New Roman" w:hAnsi="Times New Roman"/>
          <w:sz w:val="24"/>
        </w:rPr>
      </w:pPr>
    </w:p>
    <w:p w14:paraId="9A010000">
      <w:pPr>
        <w:ind/>
        <w:jc w:val="center"/>
        <w:rPr>
          <w:rFonts w:ascii="Times New Roman" w:hAnsi="Times New Roman"/>
          <w:sz w:val="28"/>
        </w:rPr>
      </w:pPr>
    </w:p>
    <w:p w14:paraId="9B010000">
      <w:pPr>
        <w:ind/>
        <w:jc w:val="center"/>
        <w:rPr>
          <w:rFonts w:ascii="Times New Roman" w:hAnsi="Times New Roman"/>
          <w:sz w:val="28"/>
        </w:rPr>
      </w:pPr>
    </w:p>
    <w:p w14:paraId="9C010000">
      <w:pPr>
        <w:ind/>
        <w:jc w:val="center"/>
        <w:rPr>
          <w:rFonts w:ascii="Times New Roman" w:hAnsi="Times New Roman"/>
          <w:sz w:val="28"/>
        </w:rPr>
      </w:pPr>
    </w:p>
    <w:p w14:paraId="9D010000">
      <w:pPr>
        <w:ind/>
        <w:jc w:val="center"/>
        <w:rPr>
          <w:rFonts w:ascii="Times New Roman" w:hAnsi="Times New Roman"/>
          <w:sz w:val="28"/>
        </w:rPr>
      </w:pPr>
    </w:p>
    <w:p w14:paraId="9E010000">
      <w:pPr>
        <w:ind/>
        <w:jc w:val="center"/>
        <w:rPr>
          <w:rFonts w:ascii="Times New Roman" w:hAnsi="Times New Roman"/>
          <w:sz w:val="28"/>
        </w:rPr>
      </w:pPr>
    </w:p>
    <w:p w14:paraId="9F010000">
      <w:pPr>
        <w:ind/>
        <w:jc w:val="center"/>
        <w:rPr>
          <w:rFonts w:ascii="Times New Roman" w:hAnsi="Times New Roman"/>
          <w:sz w:val="28"/>
        </w:rPr>
      </w:pPr>
    </w:p>
    <w:p w14:paraId="A0010000">
      <w:pPr>
        <w:ind/>
        <w:jc w:val="center"/>
        <w:rPr>
          <w:rFonts w:ascii="Times New Roman" w:hAnsi="Times New Roman"/>
          <w:sz w:val="28"/>
        </w:rPr>
      </w:pPr>
    </w:p>
    <w:p w14:paraId="A1010000">
      <w:pPr>
        <w:ind/>
        <w:jc w:val="center"/>
        <w:rPr>
          <w:rFonts w:ascii="Times New Roman" w:hAnsi="Times New Roman"/>
          <w:sz w:val="28"/>
        </w:rPr>
      </w:pPr>
    </w:p>
    <w:p w14:paraId="A2010000">
      <w:pPr>
        <w:ind/>
        <w:jc w:val="center"/>
        <w:rPr>
          <w:rFonts w:ascii="Times New Roman" w:hAnsi="Times New Roman"/>
          <w:sz w:val="28"/>
        </w:rPr>
      </w:pPr>
    </w:p>
    <w:p w14:paraId="A3010000">
      <w:pPr>
        <w:ind/>
        <w:jc w:val="center"/>
        <w:rPr>
          <w:rFonts w:ascii="Times New Roman" w:hAnsi="Times New Roman"/>
          <w:sz w:val="28"/>
        </w:rPr>
      </w:pPr>
    </w:p>
    <w:p w14:paraId="A4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A5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A6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Карта границ Памятника природы</w:t>
      </w:r>
    </w:p>
    <w:p w14:paraId="A7010000">
      <w:pPr>
        <w:ind/>
        <w:jc w:val="center"/>
      </w:pPr>
    </w:p>
    <w:p w14:paraId="A8010000">
      <w:pPr>
        <w:ind/>
        <w:jc w:val="center"/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6083931" cy="7181850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5464" l="2072" r="1394" t="3910"/>
                    <a:stretch/>
                  </pic:blipFill>
                  <pic:spPr>
                    <a:xfrm flipH="false" flipV="false" rot="0">
                      <a:ext cx="6083931" cy="71818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9010000">
      <w:pPr>
        <w:ind/>
        <w:jc w:val="center"/>
      </w:pPr>
    </w:p>
    <w:p w14:paraId="AA010000">
      <w:pPr>
        <w:ind/>
        <w:jc w:val="center"/>
      </w:pPr>
    </w:p>
    <w:p w14:paraId="AB010000">
      <w:pPr>
        <w:ind/>
        <w:jc w:val="center"/>
      </w:pPr>
    </w:p>
    <w:p w14:paraId="AC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D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E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F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0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1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2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3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4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5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6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7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8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9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A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B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C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D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E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F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0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1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2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3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4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5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6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7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8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9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A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2" w:name="_GoBack"/>
      <w:bookmarkEnd w:id="2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213995</wp:posOffset>
            </wp:positionH>
            <wp:positionV relativeFrom="paragraph">
              <wp:posOffset>26669</wp:posOffset>
            </wp:positionV>
            <wp:extent cx="4695825" cy="409575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5195" l="8116" r="19106" t="80044"/>
                    <a:stretch/>
                  </pic:blipFill>
                  <pic:spPr>
                    <a:xfrm flipH="false" flipV="false" rot="0">
                      <a:ext cx="4695825" cy="4095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B010000">
      <w:pPr>
        <w:tabs>
          <w:tab w:leader="none" w:pos="567" w:val="left"/>
          <w:tab w:leader="none" w:pos="993" w:val="left"/>
          <w:tab w:leader="none" w:pos="5730" w:val="left"/>
        </w:tabs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CC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083300" cy="90995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1399" l="2072" r="1394" t="88386"/>
                    <a:stretch/>
                  </pic:blipFill>
                  <pic:spPr>
                    <a:xfrm flipH="false" flipV="false" rot="0">
                      <a:ext cx="6083300" cy="9099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D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CE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CF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D0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D1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D2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Карта-схема местоположения Памятника природы</w:t>
      </w:r>
    </w:p>
    <w:p w14:paraId="D301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D4010000">
      <w:pPr>
        <w:tabs>
          <w:tab w:leader="none" w:pos="567" w:val="left"/>
          <w:tab w:leader="none" w:pos="993" w:val="left"/>
        </w:tabs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  <w:r>
        <w:drawing>
          <wp:inline>
            <wp:extent cx="6019800" cy="694372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019800" cy="694372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822" w:footer="709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russianLower"/>
      <w:lvlText w:val="%1)"/>
      <w:lvlJc w:val="left"/>
      <w:pPr>
        <w:ind w:hanging="360" w:left="720"/>
      </w:pPr>
    </w:lvl>
    <w:lvl w:ilvl="1">
      <w:start w:val="1"/>
      <w:numFmt w:val="decimal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russianLower"/>
      <w:lvlText w:val="%4)"/>
      <w:lvlJc w:val="left"/>
      <w:pPr>
        <w:ind w:hanging="360" w:left="2880"/>
      </w:pPr>
    </w:lvl>
    <w:lvl w:ilvl="4">
      <w:start w:val="1"/>
      <w:numFmt w:val="decimal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russianLower"/>
      <w:lvlText w:val="%7)"/>
      <w:lvlJc w:val="left"/>
      <w:pPr>
        <w:ind w:hanging="360" w:left="5040"/>
      </w:pPr>
    </w:lvl>
    <w:lvl w:ilvl="7">
      <w:start w:val="1"/>
      <w:numFmt w:val="decimal"/>
      <w:lvlText w:val="%8)"/>
      <w:lvlJc w:val="left"/>
      <w:pPr>
        <w:ind w:hanging="360" w:left="5760"/>
      </w:pPr>
    </w:lvl>
    <w:lvl w:ilvl="8">
      <w:start w:val="1"/>
      <w:numFmt w:val="lowerRoman"/>
      <w:lvlText w:val="%9)"/>
      <w:lvlJc w:val="right"/>
      <w:pPr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Обычный1"/>
    <w:link w:val="Style_6_ch"/>
  </w:style>
  <w:style w:styleId="Style_6_ch" w:type="character">
    <w:name w:val="Обычный1"/>
    <w:link w:val="Style_6"/>
  </w:style>
  <w:style w:styleId="Style_7" w:type="paragraph">
    <w:name w:val="Основной шрифт абзаца1"/>
    <w:link w:val="Style_7_ch"/>
  </w:style>
  <w:style w:styleId="Style_7_ch" w:type="character">
    <w:name w:val="Основной шрифт абзаца1"/>
    <w:link w:val="Style_7"/>
  </w:style>
  <w:style w:styleId="Style_8" w:type="paragraph">
    <w:name w:val="toc 6"/>
    <w:next w:val="Style_3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Гиперссылка2"/>
    <w:link w:val="Style_10_ch"/>
    <w:rPr>
      <w:color w:val="0000FF"/>
      <w:u w:val="single"/>
    </w:rPr>
  </w:style>
  <w:style w:styleId="Style_10_ch" w:type="character">
    <w:name w:val="Гиперссылка2"/>
    <w:link w:val="Style_10"/>
    <w:rPr>
      <w:color w:val="0000FF"/>
      <w:u w:val="single"/>
    </w:rPr>
  </w:style>
  <w:style w:styleId="Style_11" w:type="paragraph">
    <w:name w:val="heading 3"/>
    <w:next w:val="Style_3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Обычный1"/>
    <w:link w:val="Style_12_ch"/>
  </w:style>
  <w:style w:styleId="Style_12_ch" w:type="character">
    <w:name w:val="Обычный1"/>
    <w:link w:val="Style_12"/>
  </w:style>
  <w:style w:styleId="Style_13" w:type="paragraph">
    <w:name w:val="Основной шрифт абзаца1"/>
    <w:link w:val="Style_13_ch"/>
  </w:style>
  <w:style w:styleId="Style_13_ch" w:type="character">
    <w:name w:val="Основной шрифт абзаца1"/>
    <w:link w:val="Style_13"/>
  </w:style>
  <w:style w:styleId="Style_14" w:type="paragraph">
    <w:name w:val="Balloon Text"/>
    <w:basedOn w:val="Style_3"/>
    <w:link w:val="Style_14_ch"/>
    <w:pPr>
      <w:spacing w:after="0" w:line="240" w:lineRule="auto"/>
      <w:ind/>
    </w:pPr>
    <w:rPr>
      <w:rFonts w:ascii="Segoe UI" w:hAnsi="Segoe UI"/>
      <w:sz w:val="18"/>
    </w:rPr>
  </w:style>
  <w:style w:styleId="Style_14_ch" w:type="character">
    <w:name w:val="Balloon Text"/>
    <w:basedOn w:val="Style_3_ch"/>
    <w:link w:val="Style_14"/>
    <w:rPr>
      <w:rFonts w:ascii="Segoe UI" w:hAnsi="Segoe UI"/>
      <w:sz w:val="18"/>
    </w:rPr>
  </w:style>
  <w:style w:styleId="Style_15" w:type="paragraph">
    <w:name w:val="Основной шрифт абзаца1"/>
    <w:link w:val="Style_15_ch"/>
  </w:style>
  <w:style w:styleId="Style_15_ch" w:type="character">
    <w:name w:val="Основной шрифт абзаца1"/>
    <w:link w:val="Style_15"/>
  </w:style>
  <w:style w:styleId="Style_16" w:type="paragraph">
    <w:name w:val="Гиперссылка3"/>
    <w:link w:val="Style_16_ch"/>
    <w:rPr>
      <w:color w:val="0000FF"/>
      <w:u w:val="single"/>
    </w:rPr>
  </w:style>
  <w:style w:styleId="Style_16_ch" w:type="character">
    <w:name w:val="Гиперссылка3"/>
    <w:link w:val="Style_16"/>
    <w:rPr>
      <w:color w:val="0000FF"/>
      <w:u w:val="single"/>
    </w:rPr>
  </w:style>
  <w:style w:styleId="Style_17" w:type="paragraph">
    <w:name w:val="toc 3"/>
    <w:next w:val="Style_3"/>
    <w:link w:val="Style_17_ch"/>
    <w:uiPriority w:val="39"/>
    <w:pPr>
      <w:ind w:firstLine="0" w:left="400"/>
    </w:pPr>
    <w:rPr>
      <w:rFonts w:ascii="XO Thames" w:hAnsi="XO Thames"/>
      <w:sz w:val="28"/>
    </w:rPr>
  </w:style>
  <w:style w:styleId="Style_17_ch" w:type="character">
    <w:name w:val="toc 3"/>
    <w:link w:val="Style_17"/>
    <w:rPr>
      <w:rFonts w:ascii="XO Thames" w:hAnsi="XO Thames"/>
      <w:sz w:val="28"/>
    </w:rPr>
  </w:style>
  <w:style w:styleId="Style_18" w:type="paragraph">
    <w:name w:val="Гиперссылка1"/>
    <w:basedOn w:val="Style_7"/>
    <w:link w:val="Style_18_ch"/>
    <w:rPr>
      <w:color w:themeColor="hyperlink" w:val="0563C1"/>
      <w:u w:val="single"/>
    </w:rPr>
  </w:style>
  <w:style w:styleId="Style_18_ch" w:type="character">
    <w:name w:val="Гиперссылка1"/>
    <w:basedOn w:val="Style_7_ch"/>
    <w:link w:val="Style_18"/>
    <w:rPr>
      <w:color w:themeColor="hyperlink" w:val="0563C1"/>
      <w:u w:val="single"/>
    </w:rPr>
  </w:style>
  <w:style w:styleId="Style_19" w:type="paragraph">
    <w:name w:val="heading 5"/>
    <w:next w:val="Style_3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9_ch" w:type="character">
    <w:name w:val="heading 5"/>
    <w:link w:val="Style_19"/>
    <w:rPr>
      <w:rFonts w:ascii="XO Thames" w:hAnsi="XO Thames"/>
      <w:b w:val="1"/>
    </w:rPr>
  </w:style>
  <w:style w:styleId="Style_20" w:type="paragraph">
    <w:name w:val="header"/>
    <w:basedOn w:val="Style_3"/>
    <w:link w:val="Style_2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0_ch" w:type="character">
    <w:name w:val="header"/>
    <w:basedOn w:val="Style_3_ch"/>
    <w:link w:val="Style_20"/>
  </w:style>
  <w:style w:styleId="Style_21" w:type="paragraph">
    <w:name w:val="heading 1"/>
    <w:next w:val="Style_3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</w:rPr>
  </w:style>
  <w:style w:styleId="Style_23_ch" w:type="character">
    <w:name w:val="Footnote"/>
    <w:link w:val="Style_23"/>
    <w:rPr>
      <w:rFonts w:ascii="XO Thames" w:hAnsi="XO Thames"/>
    </w:rPr>
  </w:style>
  <w:style w:styleId="Style_24" w:type="paragraph">
    <w:name w:val="toc 1"/>
    <w:next w:val="Style_3"/>
    <w:link w:val="Style_24_ch"/>
    <w:uiPriority w:val="39"/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0"/>
    </w:rPr>
  </w:style>
  <w:style w:styleId="Style_25_ch" w:type="character">
    <w:name w:val="Header and Footer"/>
    <w:link w:val="Style_25"/>
    <w:rPr>
      <w:rFonts w:ascii="XO Thames" w:hAnsi="XO Thames"/>
      <w:sz w:val="20"/>
    </w:rPr>
  </w:style>
  <w:style w:styleId="Style_26" w:type="paragraph">
    <w:name w:val="toc 9"/>
    <w:next w:val="Style_3"/>
    <w:link w:val="Style_26_ch"/>
    <w:uiPriority w:val="39"/>
    <w:pPr>
      <w:ind w:firstLine="0" w:left="1600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toc 8"/>
    <w:next w:val="Style_3"/>
    <w:link w:val="Style_27_ch"/>
    <w:uiPriority w:val="39"/>
    <w:pPr>
      <w:ind w:firstLine="0" w:left="1400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Plain Text"/>
    <w:basedOn w:val="Style_3"/>
    <w:link w:val="Style_28_ch"/>
    <w:pPr>
      <w:spacing w:after="0" w:line="240" w:lineRule="auto"/>
      <w:ind/>
    </w:pPr>
    <w:rPr>
      <w:rFonts w:ascii="Calibri" w:hAnsi="Calibri"/>
    </w:rPr>
  </w:style>
  <w:style w:styleId="Style_28_ch" w:type="character">
    <w:name w:val="Plain Text"/>
    <w:basedOn w:val="Style_3_ch"/>
    <w:link w:val="Style_28"/>
    <w:rPr>
      <w:rFonts w:ascii="Calibri" w:hAnsi="Calibri"/>
    </w:rPr>
  </w:style>
  <w:style w:styleId="Style_29" w:type="paragraph">
    <w:name w:val="toc 5"/>
    <w:next w:val="Style_3"/>
    <w:link w:val="Style_29_ch"/>
    <w:uiPriority w:val="39"/>
    <w:pPr>
      <w:ind w:firstLine="0" w:left="800"/>
    </w:pPr>
    <w:rPr>
      <w:rFonts w:ascii="XO Thames" w:hAnsi="XO Thames"/>
      <w:sz w:val="28"/>
    </w:rPr>
  </w:style>
  <w:style w:styleId="Style_29_ch" w:type="character">
    <w:name w:val="toc 5"/>
    <w:link w:val="Style_29"/>
    <w:rPr>
      <w:rFonts w:ascii="XO Thames" w:hAnsi="XO Thames"/>
      <w:sz w:val="28"/>
    </w:rPr>
  </w:style>
  <w:style w:styleId="Style_30" w:type="paragraph">
    <w:name w:val="footer"/>
    <w:basedOn w:val="Style_3"/>
    <w:link w:val="Style_30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30_ch" w:type="character">
    <w:name w:val="footer"/>
    <w:basedOn w:val="Style_3_ch"/>
    <w:link w:val="Style_30"/>
    <w:rPr>
      <w:rFonts w:ascii="Times New Roman" w:hAnsi="Times New Roman"/>
      <w:sz w:val="28"/>
    </w:rPr>
  </w:style>
  <w:style w:styleId="Style_31" w:type="paragraph">
    <w:name w:val="Subtitle"/>
    <w:next w:val="Style_3"/>
    <w:link w:val="Style_3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1_ch" w:type="character">
    <w:name w:val="Subtitle"/>
    <w:link w:val="Style_31"/>
    <w:rPr>
      <w:rFonts w:ascii="XO Thames" w:hAnsi="XO Thames"/>
      <w:i w:val="1"/>
      <w:sz w:val="24"/>
    </w:rPr>
  </w:style>
  <w:style w:styleId="Style_32" w:type="paragraph">
    <w:name w:val="Обычный1"/>
    <w:link w:val="Style_32_ch"/>
  </w:style>
  <w:style w:styleId="Style_32_ch" w:type="character">
    <w:name w:val="Обычный1"/>
    <w:link w:val="Style_32"/>
  </w:style>
  <w:style w:styleId="Style_33" w:type="paragraph">
    <w:name w:val="Title"/>
    <w:next w:val="Style_3"/>
    <w:link w:val="Style_3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3_ch" w:type="character">
    <w:name w:val="Title"/>
    <w:link w:val="Style_33"/>
    <w:rPr>
      <w:rFonts w:ascii="XO Thames" w:hAnsi="XO Thames"/>
      <w:b w:val="1"/>
      <w:caps w:val="1"/>
      <w:sz w:val="40"/>
    </w:rPr>
  </w:style>
  <w:style w:styleId="Style_34" w:type="paragraph">
    <w:name w:val="heading 4"/>
    <w:next w:val="Style_3"/>
    <w:link w:val="Style_3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4_ch" w:type="character">
    <w:name w:val="heading 4"/>
    <w:link w:val="Style_34"/>
    <w:rPr>
      <w:rFonts w:ascii="XO Thames" w:hAnsi="XO Thames"/>
      <w:b w:val="1"/>
      <w:sz w:val="24"/>
    </w:rPr>
  </w:style>
  <w:style w:styleId="Style_35" w:type="paragraph">
    <w:name w:val="heading 2"/>
    <w:next w:val="Style_3"/>
    <w:link w:val="Style_3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5_ch" w:type="character">
    <w:name w:val="heading 2"/>
    <w:link w:val="Style_35"/>
    <w:rPr>
      <w:rFonts w:ascii="XO Thames" w:hAnsi="XO Thames"/>
      <w:b w:val="1"/>
      <w:sz w:val="28"/>
    </w:rPr>
  </w:style>
  <w:style w:styleId="Style_36" w:type="paragraph">
    <w:name w:val="Default Paragraph Font"/>
    <w:link w:val="Style_36_ch"/>
  </w:style>
  <w:style w:styleId="Style_36_ch" w:type="character">
    <w:name w:val="Default Paragraph Font"/>
    <w:link w:val="Style_36"/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7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8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numbering.xml" Type="http://schemas.openxmlformats.org/officeDocument/2006/relationships/numbering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pn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2023-07-06T04:37:31Z</dcterms:modified>
</cp:coreProperties>
</file>